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7E5D" w14:textId="77777777" w:rsidR="00C97F05" w:rsidRPr="000D2CCA" w:rsidRDefault="00C97F05" w:rsidP="003D2E71">
      <w:pPr>
        <w:pStyle w:val="Normlnweb"/>
        <w:spacing w:after="120" w:afterAutospacing="0"/>
        <w:jc w:val="center"/>
        <w:rPr>
          <w:b/>
          <w:bCs/>
          <w:color w:val="4BACC6" w:themeColor="accent5"/>
          <w:sz w:val="27"/>
          <w:szCs w:val="27"/>
          <w:lang w:val="en-GB"/>
        </w:rPr>
      </w:pPr>
    </w:p>
    <w:p w14:paraId="29F44B66" w14:textId="28450089" w:rsidR="00C97F05" w:rsidRPr="000D2CCA" w:rsidRDefault="00C97F05" w:rsidP="003D2E71">
      <w:pPr>
        <w:pStyle w:val="Nadpis2"/>
        <w:spacing w:after="120"/>
        <w:jc w:val="center"/>
        <w:rPr>
          <w:lang w:val="en-GB"/>
        </w:rPr>
      </w:pPr>
      <w:r w:rsidRPr="000D2CCA">
        <w:rPr>
          <w:lang w:val="en-GB"/>
        </w:rPr>
        <w:t>CITATION MANUAL – COFOLA INTERNATIONAL</w:t>
      </w:r>
      <w:r w:rsidR="0081648C" w:rsidRPr="000D2CCA">
        <w:rPr>
          <w:lang w:val="en-GB"/>
        </w:rPr>
        <w:t xml:space="preserve"> 202</w:t>
      </w:r>
      <w:r w:rsidR="0097245E">
        <w:rPr>
          <w:lang w:val="en-GB"/>
        </w:rPr>
        <w:t>3</w:t>
      </w:r>
    </w:p>
    <w:p w14:paraId="38721BF3" w14:textId="77777777" w:rsidR="0081648C" w:rsidRPr="000D2CCA" w:rsidRDefault="0081648C" w:rsidP="003D2E71">
      <w:pPr>
        <w:spacing w:after="120" w:line="240" w:lineRule="auto"/>
        <w:rPr>
          <w:lang w:val="en-GB" w:eastAsia="ar-SA"/>
        </w:rPr>
      </w:pPr>
    </w:p>
    <w:p w14:paraId="1BFD6305" w14:textId="77777777" w:rsidR="00C97F05" w:rsidRPr="000D2CCA" w:rsidRDefault="00C97F05" w:rsidP="003D2E71">
      <w:pPr>
        <w:pStyle w:val="Nadpis3"/>
        <w:spacing w:line="240" w:lineRule="auto"/>
        <w:rPr>
          <w:lang w:val="en-GB"/>
        </w:rPr>
      </w:pPr>
      <w:r w:rsidRPr="000D2CCA">
        <w:rPr>
          <w:lang w:val="en-GB"/>
        </w:rPr>
        <w:t>Books (Monographs)</w:t>
      </w:r>
    </w:p>
    <w:p w14:paraId="62CC7DEC" w14:textId="77777777" w:rsidR="00C97F05" w:rsidRPr="000D2CCA" w:rsidRDefault="00C97F05" w:rsidP="003D2E71">
      <w:pPr>
        <w:pStyle w:val="Nadpis4"/>
        <w:numPr>
          <w:ilvl w:val="0"/>
          <w:numId w:val="15"/>
        </w:numPr>
        <w:spacing w:line="240" w:lineRule="auto"/>
        <w:rPr>
          <w:lang w:val="en-GB"/>
        </w:rPr>
      </w:pPr>
      <w:r w:rsidRPr="000D2CCA">
        <w:rPr>
          <w:lang w:val="en-GB"/>
        </w:rPr>
        <w:t>Footnotes:</w:t>
      </w:r>
    </w:p>
    <w:p w14:paraId="5A07AF09" w14:textId="21C5DEA6" w:rsidR="00C97F05" w:rsidRPr="000D2CCA" w:rsidRDefault="00C97F05" w:rsidP="003D2E71">
      <w:pPr>
        <w:pStyle w:val="Normlnweb"/>
        <w:numPr>
          <w:ilvl w:val="0"/>
          <w:numId w:val="4"/>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SURNAME, Name (Capital Letter). </w:t>
      </w:r>
      <w:r w:rsidRPr="000D2CCA">
        <w:rPr>
          <w:rFonts w:ascii="Arial" w:hAnsi="Arial" w:cs="Arial"/>
          <w:i/>
          <w:sz w:val="22"/>
          <w:szCs w:val="22"/>
          <w:lang w:val="en-GB"/>
        </w:rPr>
        <w:t>Title of the book</w:t>
      </w:r>
      <w:r w:rsidRPr="000D2CCA">
        <w:rPr>
          <w:rFonts w:ascii="Arial" w:hAnsi="Arial" w:cs="Arial"/>
          <w:sz w:val="22"/>
          <w:szCs w:val="22"/>
          <w:lang w:val="en-GB"/>
        </w:rPr>
        <w:t xml:space="preserve">. City: Publisher, Year, </w:t>
      </w:r>
      <w:r w:rsidR="007A4108">
        <w:rPr>
          <w:rFonts w:ascii="Arial" w:hAnsi="Arial" w:cs="Arial"/>
          <w:sz w:val="22"/>
          <w:szCs w:val="22"/>
          <w:lang w:val="en-GB"/>
        </w:rPr>
        <w:t xml:space="preserve">specific </w:t>
      </w:r>
      <w:r w:rsidR="0097245E">
        <w:rPr>
          <w:rFonts w:ascii="Arial" w:hAnsi="Arial" w:cs="Arial"/>
          <w:sz w:val="22"/>
          <w:szCs w:val="22"/>
          <w:lang w:val="en-GB"/>
        </w:rPr>
        <w:t>p</w:t>
      </w:r>
      <w:r w:rsidRPr="000D2CCA">
        <w:rPr>
          <w:rFonts w:ascii="Arial" w:hAnsi="Arial" w:cs="Arial"/>
          <w:sz w:val="22"/>
          <w:szCs w:val="22"/>
          <w:lang w:val="en-GB"/>
        </w:rPr>
        <w:t xml:space="preserve">age/pages. </w:t>
      </w:r>
    </w:p>
    <w:p w14:paraId="73D2C01D" w14:textId="77777777" w:rsidR="00C97F05" w:rsidRPr="000D2CCA"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HAZELHORST, M. </w:t>
      </w:r>
      <w:r w:rsidRPr="000D2CCA">
        <w:rPr>
          <w:rFonts w:ascii="Arial" w:hAnsi="Arial" w:cs="Arial"/>
          <w:i/>
          <w:sz w:val="22"/>
          <w:szCs w:val="22"/>
          <w:lang w:val="en-GB"/>
        </w:rPr>
        <w:t>Free movement of civil judgments in the European Union and the right to a fair trial.</w:t>
      </w:r>
      <w:r w:rsidRPr="000D2CCA">
        <w:rPr>
          <w:rFonts w:ascii="Arial" w:hAnsi="Arial" w:cs="Arial"/>
          <w:sz w:val="22"/>
          <w:szCs w:val="22"/>
          <w:lang w:val="en-GB"/>
        </w:rPr>
        <w:t xml:space="preserve"> The Hague: T. M. C. Asser Press, 2017, p. 235.</w:t>
      </w:r>
    </w:p>
    <w:p w14:paraId="7720FC30" w14:textId="57BE20C1" w:rsidR="00C97F05" w:rsidRPr="000D2CCA" w:rsidRDefault="00C97F05" w:rsidP="003D2E71">
      <w:pPr>
        <w:pStyle w:val="Normlnweb"/>
        <w:numPr>
          <w:ilvl w:val="0"/>
          <w:numId w:val="4"/>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If there are </w:t>
      </w:r>
      <w:r w:rsidRPr="0097245E">
        <w:rPr>
          <w:rFonts w:ascii="Arial" w:eastAsiaTheme="majorEastAsia" w:hAnsi="Arial" w:cs="Arial"/>
          <w:bCs/>
          <w:iCs/>
          <w:color w:val="0000DC"/>
          <w:sz w:val="22"/>
          <w:szCs w:val="22"/>
          <w:lang w:val="en-GB"/>
        </w:rPr>
        <w:t>two</w:t>
      </w:r>
      <w:r w:rsidR="0097245E">
        <w:rPr>
          <w:rFonts w:ascii="Arial" w:eastAsiaTheme="majorEastAsia" w:hAnsi="Arial" w:cs="Arial"/>
          <w:bCs/>
          <w:iCs/>
          <w:color w:val="0000DC"/>
          <w:sz w:val="22"/>
          <w:szCs w:val="22"/>
          <w:lang w:val="en-GB"/>
        </w:rPr>
        <w:t xml:space="preserve"> or more</w:t>
      </w:r>
      <w:r w:rsidRPr="0097245E">
        <w:rPr>
          <w:rFonts w:ascii="Arial" w:eastAsiaTheme="majorEastAsia" w:hAnsi="Arial" w:cs="Arial"/>
          <w:bCs/>
          <w:iCs/>
          <w:color w:val="0000DC"/>
          <w:sz w:val="22"/>
          <w:szCs w:val="22"/>
          <w:lang w:val="en-GB"/>
        </w:rPr>
        <w:t xml:space="preserve"> authors</w:t>
      </w:r>
      <w:r w:rsidRPr="000D2CCA">
        <w:rPr>
          <w:rFonts w:ascii="Arial" w:hAnsi="Arial" w:cs="Arial"/>
          <w:sz w:val="22"/>
          <w:szCs w:val="22"/>
          <w:lang w:val="en-GB"/>
        </w:rPr>
        <w:t xml:space="preserve">, </w:t>
      </w:r>
      <w:r w:rsidRPr="0097245E">
        <w:rPr>
          <w:rFonts w:ascii="Arial" w:hAnsi="Arial" w:cs="Arial"/>
          <w:sz w:val="22"/>
          <w:szCs w:val="22"/>
          <w:lang w:val="en-GB"/>
        </w:rPr>
        <w:t xml:space="preserve">use </w:t>
      </w:r>
      <w:r w:rsidRPr="0097245E">
        <w:rPr>
          <w:rFonts w:ascii="Arial" w:eastAsiaTheme="majorEastAsia" w:hAnsi="Arial" w:cs="Arial"/>
          <w:bCs/>
          <w:iCs/>
          <w:sz w:val="22"/>
          <w:szCs w:val="22"/>
          <w:lang w:val="en-GB"/>
        </w:rPr>
        <w:t>comma</w:t>
      </w:r>
      <w:r w:rsidRPr="0097245E">
        <w:rPr>
          <w:rFonts w:ascii="Arial" w:hAnsi="Arial" w:cs="Arial"/>
          <w:sz w:val="22"/>
          <w:szCs w:val="22"/>
          <w:lang w:val="en-GB"/>
        </w:rPr>
        <w:t xml:space="preserve"> to separate </w:t>
      </w:r>
      <w:r w:rsidRPr="000D2CCA">
        <w:rPr>
          <w:rFonts w:ascii="Arial" w:hAnsi="Arial" w:cs="Arial"/>
          <w:sz w:val="22"/>
          <w:szCs w:val="22"/>
          <w:lang w:val="en-GB"/>
        </w:rPr>
        <w:t xml:space="preserve">them. If there are </w:t>
      </w:r>
      <w:r w:rsidRPr="0097245E">
        <w:rPr>
          <w:rFonts w:ascii="Arial" w:eastAsiaTheme="majorEastAsia" w:hAnsi="Arial" w:cs="Arial"/>
          <w:bCs/>
          <w:iCs/>
          <w:color w:val="0000DC"/>
          <w:sz w:val="22"/>
          <w:szCs w:val="22"/>
          <w:lang w:val="en-GB"/>
        </w:rPr>
        <w:t>more than three authors</w:t>
      </w:r>
      <w:r w:rsidRPr="000D2CCA">
        <w:rPr>
          <w:rFonts w:ascii="Arial" w:hAnsi="Arial" w:cs="Arial"/>
          <w:sz w:val="22"/>
          <w:szCs w:val="22"/>
          <w:lang w:val="en-GB"/>
        </w:rPr>
        <w:t xml:space="preserve">, you may designate only the first one adding “et al.”  </w:t>
      </w:r>
    </w:p>
    <w:p w14:paraId="4777ADC1" w14:textId="52AB90DF" w:rsidR="00C97F05" w:rsidRPr="000D2CCA"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AFFAKI, G. B.</w:t>
      </w:r>
      <w:r w:rsidR="0097245E">
        <w:rPr>
          <w:rFonts w:ascii="Arial" w:hAnsi="Arial" w:cs="Arial"/>
          <w:sz w:val="22"/>
          <w:szCs w:val="22"/>
          <w:lang w:val="en-GB"/>
        </w:rPr>
        <w:t>,</w:t>
      </w:r>
      <w:r w:rsidRPr="000D2CCA">
        <w:rPr>
          <w:rFonts w:ascii="Arial" w:hAnsi="Arial" w:cs="Arial"/>
          <w:sz w:val="22"/>
          <w:szCs w:val="22"/>
          <w:lang w:val="en-GB"/>
        </w:rPr>
        <w:t xml:space="preserve"> </w:t>
      </w:r>
      <w:r w:rsidR="0097245E" w:rsidRPr="000D2CCA">
        <w:rPr>
          <w:rFonts w:ascii="Arial" w:hAnsi="Arial" w:cs="Arial"/>
          <w:sz w:val="22"/>
          <w:szCs w:val="22"/>
          <w:lang w:val="en-GB"/>
        </w:rPr>
        <w:t>NAÓN</w:t>
      </w:r>
      <w:r w:rsidR="0097245E">
        <w:rPr>
          <w:rFonts w:ascii="Arial" w:hAnsi="Arial" w:cs="Arial"/>
          <w:sz w:val="22"/>
          <w:szCs w:val="22"/>
          <w:lang w:val="en-GB"/>
        </w:rPr>
        <w:t xml:space="preserve">, </w:t>
      </w:r>
      <w:r w:rsidRPr="000D2CCA">
        <w:rPr>
          <w:rFonts w:ascii="Arial" w:hAnsi="Arial" w:cs="Arial"/>
          <w:sz w:val="22"/>
          <w:szCs w:val="22"/>
          <w:lang w:val="en-GB"/>
        </w:rPr>
        <w:t>A.</w:t>
      </w:r>
      <w:r w:rsidR="0097245E">
        <w:rPr>
          <w:rFonts w:ascii="Arial" w:hAnsi="Arial" w:cs="Arial"/>
          <w:sz w:val="22"/>
          <w:szCs w:val="22"/>
          <w:lang w:val="en-GB"/>
        </w:rPr>
        <w:t xml:space="preserve"> </w:t>
      </w:r>
      <w:r w:rsidRPr="000D2CCA">
        <w:rPr>
          <w:rFonts w:ascii="Arial" w:hAnsi="Arial" w:cs="Arial"/>
          <w:sz w:val="22"/>
          <w:szCs w:val="22"/>
          <w:lang w:val="en-GB"/>
        </w:rPr>
        <w:t xml:space="preserve">H. </w:t>
      </w:r>
      <w:r w:rsidRPr="000D2CCA">
        <w:rPr>
          <w:rFonts w:ascii="Arial" w:hAnsi="Arial" w:cs="Arial"/>
          <w:i/>
          <w:sz w:val="22"/>
          <w:szCs w:val="22"/>
          <w:lang w:val="en-GB"/>
        </w:rPr>
        <w:t>Jurisdictional choices in times of trouble.</w:t>
      </w:r>
      <w:r w:rsidRPr="000D2CCA">
        <w:rPr>
          <w:rFonts w:ascii="Arial" w:hAnsi="Arial" w:cs="Arial"/>
          <w:sz w:val="22"/>
          <w:szCs w:val="22"/>
          <w:lang w:val="en-GB"/>
        </w:rPr>
        <w:t xml:space="preserve"> Paris: International Chamber of Commerce, 2015, pp. 78–81.</w:t>
      </w:r>
    </w:p>
    <w:p w14:paraId="5551A9BE" w14:textId="77777777" w:rsidR="00C97F05" w:rsidRPr="000D2CCA"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HUBER, P. et al. </w:t>
      </w:r>
      <w:r w:rsidRPr="000D2CCA">
        <w:rPr>
          <w:rFonts w:ascii="Arial" w:hAnsi="Arial" w:cs="Arial"/>
          <w:i/>
          <w:sz w:val="22"/>
          <w:szCs w:val="22"/>
          <w:lang w:val="en-GB"/>
        </w:rPr>
        <w:t>The CISG. A New Textbook for Students and Practitioners</w:t>
      </w:r>
      <w:r w:rsidRPr="000D2CCA">
        <w:rPr>
          <w:rFonts w:ascii="Arial" w:hAnsi="Arial" w:cs="Arial"/>
          <w:sz w:val="22"/>
          <w:szCs w:val="22"/>
          <w:lang w:val="en-GB"/>
        </w:rPr>
        <w:t xml:space="preserve">. Munich: Sellier European Law Publishers, 2007, p. 47. </w:t>
      </w:r>
    </w:p>
    <w:p w14:paraId="78EC0EB4" w14:textId="77777777" w:rsidR="00C97F05" w:rsidRPr="000D2CCA" w:rsidRDefault="00C97F05" w:rsidP="003D2E71">
      <w:pPr>
        <w:pStyle w:val="Nadpis4"/>
        <w:numPr>
          <w:ilvl w:val="0"/>
          <w:numId w:val="15"/>
        </w:numPr>
        <w:spacing w:line="240" w:lineRule="auto"/>
        <w:rPr>
          <w:lang w:val="en-GB"/>
        </w:rPr>
      </w:pPr>
      <w:r w:rsidRPr="000D2CCA">
        <w:rPr>
          <w:lang w:val="en-GB"/>
        </w:rPr>
        <w:t>List of References:</w:t>
      </w:r>
    </w:p>
    <w:p w14:paraId="12FD1391" w14:textId="77777777" w:rsidR="00C97F05" w:rsidRPr="000D2CCA" w:rsidRDefault="00C97F05" w:rsidP="003D2E71">
      <w:pPr>
        <w:pStyle w:val="Normlnweb"/>
        <w:numPr>
          <w:ilvl w:val="0"/>
          <w:numId w:val="4"/>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SURNAME, Name (Capital Letter). </w:t>
      </w:r>
      <w:r w:rsidRPr="000D2CCA">
        <w:rPr>
          <w:rFonts w:ascii="Arial" w:hAnsi="Arial" w:cs="Arial"/>
          <w:i/>
          <w:sz w:val="22"/>
          <w:szCs w:val="22"/>
          <w:lang w:val="en-GB"/>
        </w:rPr>
        <w:t>Title of the book</w:t>
      </w:r>
      <w:r w:rsidRPr="000D2CCA">
        <w:rPr>
          <w:rFonts w:ascii="Arial" w:hAnsi="Arial" w:cs="Arial"/>
          <w:sz w:val="22"/>
          <w:szCs w:val="22"/>
          <w:lang w:val="en-GB"/>
        </w:rPr>
        <w:t>. City: Publisher, Year, Number of pages of the whole book.</w:t>
      </w:r>
    </w:p>
    <w:p w14:paraId="11E4650A" w14:textId="77777777" w:rsidR="00C97F05" w:rsidRPr="000D2CCA"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HAZELHORST, M. </w:t>
      </w:r>
      <w:r w:rsidRPr="000D2CCA">
        <w:rPr>
          <w:rFonts w:ascii="Arial" w:hAnsi="Arial" w:cs="Arial"/>
          <w:i/>
          <w:sz w:val="22"/>
          <w:szCs w:val="22"/>
          <w:lang w:val="en-GB"/>
        </w:rPr>
        <w:t>Free movement of civil judgments in the European Union and the right to a fair trial.</w:t>
      </w:r>
      <w:r w:rsidRPr="000D2CCA">
        <w:rPr>
          <w:rFonts w:ascii="Arial" w:hAnsi="Arial" w:cs="Arial"/>
          <w:sz w:val="22"/>
          <w:szCs w:val="22"/>
          <w:lang w:val="en-GB"/>
        </w:rPr>
        <w:t xml:space="preserve"> The Hague: T. M. C. Asser Press, 2017, 445 p.</w:t>
      </w:r>
    </w:p>
    <w:p w14:paraId="0204EF6D" w14:textId="43971760" w:rsidR="00C97F05" w:rsidRPr="000D2CCA"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AFFAKI, G. B.</w:t>
      </w:r>
      <w:r w:rsidR="0097245E">
        <w:rPr>
          <w:rFonts w:ascii="Arial" w:hAnsi="Arial" w:cs="Arial"/>
          <w:sz w:val="22"/>
          <w:szCs w:val="22"/>
          <w:lang w:val="en-GB"/>
        </w:rPr>
        <w:t xml:space="preserve">, </w:t>
      </w:r>
      <w:r w:rsidR="0097245E" w:rsidRPr="000D2CCA">
        <w:rPr>
          <w:rFonts w:ascii="Arial" w:hAnsi="Arial" w:cs="Arial"/>
          <w:sz w:val="22"/>
          <w:szCs w:val="22"/>
          <w:lang w:val="en-GB"/>
        </w:rPr>
        <w:t>NAÓN</w:t>
      </w:r>
      <w:r w:rsidR="0097245E">
        <w:rPr>
          <w:rFonts w:ascii="Arial" w:hAnsi="Arial" w:cs="Arial"/>
          <w:sz w:val="22"/>
          <w:szCs w:val="22"/>
          <w:lang w:val="en-GB"/>
        </w:rPr>
        <w:t xml:space="preserve">, </w:t>
      </w:r>
      <w:r w:rsidRPr="000D2CCA">
        <w:rPr>
          <w:rFonts w:ascii="Arial" w:hAnsi="Arial" w:cs="Arial"/>
          <w:sz w:val="22"/>
          <w:szCs w:val="22"/>
          <w:lang w:val="en-GB"/>
        </w:rPr>
        <w:t xml:space="preserve">A. H. </w:t>
      </w:r>
      <w:r w:rsidRPr="000D2CCA">
        <w:rPr>
          <w:rFonts w:ascii="Arial" w:hAnsi="Arial" w:cs="Arial"/>
          <w:i/>
          <w:sz w:val="22"/>
          <w:szCs w:val="22"/>
          <w:lang w:val="en-GB"/>
        </w:rPr>
        <w:t>Jurisdictional choices in times of trouble.</w:t>
      </w:r>
      <w:r w:rsidRPr="000D2CCA">
        <w:rPr>
          <w:rFonts w:ascii="Arial" w:hAnsi="Arial" w:cs="Arial"/>
          <w:sz w:val="22"/>
          <w:szCs w:val="22"/>
          <w:lang w:val="en-GB"/>
        </w:rPr>
        <w:t xml:space="preserve"> Paris: International Chamber of Commerce, 2015, 213 p. </w:t>
      </w:r>
    </w:p>
    <w:p w14:paraId="1261E452" w14:textId="77777777" w:rsidR="00C97F05" w:rsidRPr="000D2CCA" w:rsidRDefault="00C97F05" w:rsidP="003D2E71">
      <w:pPr>
        <w:pStyle w:val="Normlnweb"/>
        <w:spacing w:before="0" w:beforeAutospacing="0" w:after="120" w:afterAutospacing="0"/>
        <w:jc w:val="both"/>
        <w:rPr>
          <w:rFonts w:ascii="Arial" w:hAnsi="Arial" w:cs="Arial"/>
          <w:b/>
          <w:bCs/>
          <w:sz w:val="22"/>
          <w:szCs w:val="22"/>
          <w:lang w:val="en-GB"/>
        </w:rPr>
      </w:pPr>
    </w:p>
    <w:p w14:paraId="5080C85A" w14:textId="77777777" w:rsidR="00C97F05" w:rsidRPr="000D2CCA" w:rsidRDefault="00C97F05" w:rsidP="003D2E71">
      <w:pPr>
        <w:pStyle w:val="Nadpis3"/>
        <w:spacing w:line="240" w:lineRule="auto"/>
        <w:rPr>
          <w:lang w:val="en-GB"/>
        </w:rPr>
      </w:pPr>
      <w:r w:rsidRPr="000D2CCA">
        <w:rPr>
          <w:lang w:val="en-GB"/>
        </w:rPr>
        <w:t>Articles</w:t>
      </w:r>
    </w:p>
    <w:p w14:paraId="7792F5C4" w14:textId="77777777" w:rsidR="00C97F05" w:rsidRPr="000D2CCA" w:rsidRDefault="00C97F05" w:rsidP="003D2E71">
      <w:pPr>
        <w:pStyle w:val="Nadpis4"/>
        <w:numPr>
          <w:ilvl w:val="0"/>
          <w:numId w:val="16"/>
        </w:numPr>
        <w:spacing w:line="240" w:lineRule="auto"/>
        <w:rPr>
          <w:lang w:val="en-GB"/>
        </w:rPr>
      </w:pPr>
      <w:r w:rsidRPr="000D2CCA">
        <w:rPr>
          <w:lang w:val="en-GB"/>
        </w:rPr>
        <w:t>Footnotes:</w:t>
      </w:r>
    </w:p>
    <w:p w14:paraId="5BEB4E92" w14:textId="20F07395" w:rsidR="00C97F05" w:rsidRPr="000D2CCA" w:rsidRDefault="00C97F05" w:rsidP="003D2E71">
      <w:pPr>
        <w:pStyle w:val="Normlnweb"/>
        <w:numPr>
          <w:ilvl w:val="0"/>
          <w:numId w:val="6"/>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SURNAME, Name (Capital Letter). Title of the article. </w:t>
      </w:r>
      <w:r w:rsidRPr="000D2CCA">
        <w:rPr>
          <w:rFonts w:ascii="Arial" w:hAnsi="Arial" w:cs="Arial"/>
          <w:i/>
          <w:sz w:val="22"/>
          <w:szCs w:val="22"/>
          <w:lang w:val="en-GB"/>
        </w:rPr>
        <w:t>Title of the journal</w:t>
      </w:r>
      <w:r w:rsidR="0097245E">
        <w:rPr>
          <w:rFonts w:ascii="Arial" w:hAnsi="Arial" w:cs="Arial"/>
          <w:sz w:val="22"/>
          <w:szCs w:val="22"/>
          <w:lang w:val="en-GB"/>
        </w:rPr>
        <w:t>.</w:t>
      </w:r>
      <w:r w:rsidRPr="000D2CCA">
        <w:rPr>
          <w:rFonts w:ascii="Arial" w:hAnsi="Arial" w:cs="Arial"/>
          <w:sz w:val="22"/>
          <w:szCs w:val="22"/>
          <w:lang w:val="en-GB"/>
        </w:rPr>
        <w:t xml:space="preserve"> Year, Vol. (if</w:t>
      </w:r>
      <w:r w:rsidR="005A2DD3">
        <w:rPr>
          <w:rFonts w:ascii="Arial" w:hAnsi="Arial" w:cs="Arial"/>
          <w:sz w:val="22"/>
          <w:szCs w:val="22"/>
          <w:lang w:val="en-GB"/>
        </w:rPr>
        <w:t xml:space="preserve"> </w:t>
      </w:r>
      <w:r w:rsidRPr="000D2CCA">
        <w:rPr>
          <w:rFonts w:ascii="Arial" w:hAnsi="Arial" w:cs="Arial"/>
          <w:sz w:val="22"/>
          <w:szCs w:val="22"/>
          <w:lang w:val="en-GB"/>
        </w:rPr>
        <w:t xml:space="preserve">known), no., </w:t>
      </w:r>
      <w:r w:rsidR="005A2DD3">
        <w:rPr>
          <w:rFonts w:ascii="Arial" w:hAnsi="Arial" w:cs="Arial"/>
          <w:sz w:val="22"/>
          <w:szCs w:val="22"/>
          <w:lang w:val="en-GB"/>
        </w:rPr>
        <w:t xml:space="preserve">specific </w:t>
      </w:r>
      <w:r w:rsidR="0097245E">
        <w:rPr>
          <w:rFonts w:ascii="Arial" w:hAnsi="Arial" w:cs="Arial"/>
          <w:sz w:val="22"/>
          <w:szCs w:val="22"/>
          <w:lang w:val="en-GB"/>
        </w:rPr>
        <w:t>p</w:t>
      </w:r>
      <w:r w:rsidRPr="000D2CCA">
        <w:rPr>
          <w:rFonts w:ascii="Arial" w:hAnsi="Arial" w:cs="Arial"/>
          <w:sz w:val="22"/>
          <w:szCs w:val="22"/>
          <w:lang w:val="en-GB"/>
        </w:rPr>
        <w:t xml:space="preserve">age/pages. </w:t>
      </w:r>
    </w:p>
    <w:p w14:paraId="6D32264E" w14:textId="51D55F3D" w:rsidR="00C97F05" w:rsidRPr="000D2CCA"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KRAMER, X. Cross-Border Enforcement in the EU: Mutual Trust versus Fair Trial: Towards Principles of European Civil Procedure. </w:t>
      </w:r>
      <w:r w:rsidRPr="000D2CCA">
        <w:rPr>
          <w:rFonts w:ascii="Arial" w:hAnsi="Arial" w:cs="Arial"/>
          <w:i/>
          <w:sz w:val="22"/>
          <w:szCs w:val="22"/>
          <w:lang w:val="en-GB"/>
        </w:rPr>
        <w:t>International Journal of Procedural Law</w:t>
      </w:r>
      <w:r w:rsidR="0097245E">
        <w:rPr>
          <w:rFonts w:ascii="Arial" w:hAnsi="Arial" w:cs="Arial"/>
          <w:sz w:val="22"/>
          <w:szCs w:val="22"/>
          <w:lang w:val="en-GB"/>
        </w:rPr>
        <w:t>.</w:t>
      </w:r>
      <w:r w:rsidRPr="000D2CCA">
        <w:rPr>
          <w:rFonts w:ascii="Arial" w:hAnsi="Arial" w:cs="Arial"/>
          <w:sz w:val="22"/>
          <w:szCs w:val="22"/>
          <w:lang w:val="en-GB"/>
        </w:rPr>
        <w:t xml:space="preserve"> 2011, Vol. 1, no. 2, p. 223.</w:t>
      </w:r>
    </w:p>
    <w:p w14:paraId="37F4746C" w14:textId="612BCEDB" w:rsidR="00C97F05" w:rsidRDefault="00C97F05" w:rsidP="003D2E71">
      <w:pPr>
        <w:pStyle w:val="Normlnweb"/>
        <w:numPr>
          <w:ilvl w:val="0"/>
          <w:numId w:val="5"/>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MASTERS, S.</w:t>
      </w:r>
      <w:r w:rsidR="0097245E">
        <w:rPr>
          <w:rFonts w:ascii="Arial" w:hAnsi="Arial" w:cs="Arial"/>
          <w:sz w:val="22"/>
          <w:szCs w:val="22"/>
          <w:lang w:val="en-GB"/>
        </w:rPr>
        <w:t xml:space="preserve">, </w:t>
      </w:r>
      <w:proofErr w:type="spellStart"/>
      <w:r w:rsidRPr="000D2CCA">
        <w:rPr>
          <w:rFonts w:ascii="Arial" w:hAnsi="Arial" w:cs="Arial"/>
          <w:sz w:val="22"/>
          <w:szCs w:val="22"/>
          <w:lang w:val="en-GB"/>
        </w:rPr>
        <w:t>McRAE</w:t>
      </w:r>
      <w:proofErr w:type="spellEnd"/>
      <w:r w:rsidR="0097245E">
        <w:rPr>
          <w:rFonts w:ascii="Arial" w:hAnsi="Arial" w:cs="Arial"/>
          <w:sz w:val="22"/>
          <w:szCs w:val="22"/>
          <w:lang w:val="en-GB"/>
        </w:rPr>
        <w:t>, B</w:t>
      </w:r>
      <w:r w:rsidRPr="000D2CCA">
        <w:rPr>
          <w:rFonts w:ascii="Arial" w:hAnsi="Arial" w:cs="Arial"/>
          <w:sz w:val="22"/>
          <w:szCs w:val="22"/>
          <w:lang w:val="en-GB"/>
        </w:rPr>
        <w:t xml:space="preserve">. What does Brexit mean for the Brussels </w:t>
      </w:r>
      <w:proofErr w:type="gramStart"/>
      <w:r w:rsidRPr="000D2CCA">
        <w:rPr>
          <w:rFonts w:ascii="Arial" w:hAnsi="Arial" w:cs="Arial"/>
          <w:sz w:val="22"/>
          <w:szCs w:val="22"/>
          <w:lang w:val="en-GB"/>
        </w:rPr>
        <w:t>Regime.</w:t>
      </w:r>
      <w:proofErr w:type="gramEnd"/>
      <w:r w:rsidRPr="000D2CCA">
        <w:rPr>
          <w:rFonts w:ascii="Arial" w:hAnsi="Arial" w:cs="Arial"/>
          <w:sz w:val="22"/>
          <w:szCs w:val="22"/>
          <w:lang w:val="en-GB"/>
        </w:rPr>
        <w:t xml:space="preserve"> </w:t>
      </w:r>
      <w:r w:rsidRPr="000D2CCA">
        <w:rPr>
          <w:rFonts w:ascii="Arial" w:hAnsi="Arial" w:cs="Arial"/>
          <w:i/>
          <w:sz w:val="22"/>
          <w:szCs w:val="22"/>
          <w:lang w:val="en-GB"/>
        </w:rPr>
        <w:t>Journal of International Arbitration</w:t>
      </w:r>
      <w:r w:rsidR="0097245E">
        <w:rPr>
          <w:rFonts w:ascii="Arial" w:hAnsi="Arial" w:cs="Arial"/>
          <w:i/>
          <w:sz w:val="22"/>
          <w:szCs w:val="22"/>
          <w:lang w:val="en-GB"/>
        </w:rPr>
        <w:t>.</w:t>
      </w:r>
      <w:r w:rsidRPr="000D2CCA">
        <w:rPr>
          <w:rFonts w:ascii="Arial" w:hAnsi="Arial" w:cs="Arial"/>
          <w:sz w:val="22"/>
          <w:szCs w:val="22"/>
          <w:lang w:val="en-GB"/>
        </w:rPr>
        <w:t xml:space="preserve"> 2016, Vol. 33, no. 7, p. 485.</w:t>
      </w:r>
    </w:p>
    <w:p w14:paraId="5DA387E9" w14:textId="45072A11" w:rsidR="005A2DD3" w:rsidRDefault="005A2DD3" w:rsidP="0097245E">
      <w:pPr>
        <w:pStyle w:val="Normlnweb"/>
        <w:spacing w:before="0" w:beforeAutospacing="0" w:after="120" w:afterAutospacing="0"/>
        <w:ind w:left="708"/>
        <w:jc w:val="both"/>
        <w:rPr>
          <w:rFonts w:ascii="Arial" w:hAnsi="Arial" w:cs="Arial"/>
          <w:sz w:val="22"/>
          <w:szCs w:val="22"/>
          <w:lang w:val="en-GB"/>
        </w:rPr>
      </w:pPr>
      <w:r>
        <w:rPr>
          <w:rFonts w:ascii="Arial" w:hAnsi="Arial" w:cs="Arial"/>
          <w:sz w:val="22"/>
          <w:szCs w:val="22"/>
          <w:lang w:val="en-GB"/>
        </w:rPr>
        <w:t>Please use “Vol.”, “no.”, and “p./pp.” despite the source being in other language than English.</w:t>
      </w:r>
    </w:p>
    <w:p w14:paraId="3A0BF1FD" w14:textId="77777777" w:rsidR="00C97F05" w:rsidRPr="000D2CCA" w:rsidRDefault="00C97F05" w:rsidP="003D2E71">
      <w:pPr>
        <w:pStyle w:val="Nadpis4"/>
        <w:numPr>
          <w:ilvl w:val="0"/>
          <w:numId w:val="16"/>
        </w:numPr>
        <w:spacing w:line="240" w:lineRule="auto"/>
        <w:rPr>
          <w:lang w:val="en-GB"/>
        </w:rPr>
      </w:pPr>
      <w:r w:rsidRPr="000D2CCA">
        <w:rPr>
          <w:lang w:val="en-GB"/>
        </w:rPr>
        <w:t>List of References:</w:t>
      </w:r>
    </w:p>
    <w:p w14:paraId="774F38EB" w14:textId="552CC7E1" w:rsidR="00C97F05" w:rsidRPr="000D2CCA" w:rsidRDefault="00C97F05" w:rsidP="003D2E71">
      <w:pPr>
        <w:pStyle w:val="Normlnweb"/>
        <w:numPr>
          <w:ilvl w:val="0"/>
          <w:numId w:val="6"/>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SURNAME, Name (Capital Letter). Title of the article. </w:t>
      </w:r>
      <w:r w:rsidRPr="000D2CCA">
        <w:rPr>
          <w:rFonts w:ascii="Arial" w:hAnsi="Arial" w:cs="Arial"/>
          <w:i/>
          <w:sz w:val="22"/>
          <w:szCs w:val="22"/>
          <w:lang w:val="en-GB"/>
        </w:rPr>
        <w:t>Title of the journal</w:t>
      </w:r>
      <w:r w:rsidR="0097245E">
        <w:rPr>
          <w:rFonts w:ascii="Arial" w:hAnsi="Arial" w:cs="Arial"/>
          <w:i/>
          <w:sz w:val="22"/>
          <w:szCs w:val="22"/>
          <w:lang w:val="en-GB"/>
        </w:rPr>
        <w:t>.</w:t>
      </w:r>
      <w:r w:rsidRPr="000D2CCA">
        <w:rPr>
          <w:rFonts w:ascii="Arial" w:hAnsi="Arial" w:cs="Arial"/>
          <w:sz w:val="22"/>
          <w:szCs w:val="22"/>
          <w:lang w:val="en-GB"/>
        </w:rPr>
        <w:t xml:space="preserve"> Year, Vol. (if</w:t>
      </w:r>
      <w:r w:rsidR="005A2DD3">
        <w:rPr>
          <w:rFonts w:ascii="Arial" w:hAnsi="Arial" w:cs="Arial"/>
          <w:sz w:val="22"/>
          <w:szCs w:val="22"/>
          <w:lang w:val="en-GB"/>
        </w:rPr>
        <w:t xml:space="preserve"> </w:t>
      </w:r>
      <w:r w:rsidRPr="000D2CCA">
        <w:rPr>
          <w:rFonts w:ascii="Arial" w:hAnsi="Arial" w:cs="Arial"/>
          <w:sz w:val="22"/>
          <w:szCs w:val="22"/>
          <w:lang w:val="en-GB"/>
        </w:rPr>
        <w:t xml:space="preserve">known), no., Scope of pages of the article. </w:t>
      </w:r>
    </w:p>
    <w:p w14:paraId="3547908C" w14:textId="19CBE97C" w:rsidR="00C97F05" w:rsidRPr="000D2CCA" w:rsidRDefault="00C97F05" w:rsidP="003D2E71">
      <w:pPr>
        <w:pStyle w:val="Normlnweb"/>
        <w:numPr>
          <w:ilvl w:val="0"/>
          <w:numId w:val="7"/>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KRAMER, X. Cross-Border Enforcement in the EU: Mutual Trust versus Fair Trial: Towards Principles of European Civil Procedure. </w:t>
      </w:r>
      <w:r w:rsidRPr="000D2CCA">
        <w:rPr>
          <w:rFonts w:ascii="Arial" w:hAnsi="Arial" w:cs="Arial"/>
          <w:i/>
          <w:sz w:val="22"/>
          <w:szCs w:val="22"/>
          <w:lang w:val="en-GB"/>
        </w:rPr>
        <w:t>International Journal of Procedural Law</w:t>
      </w:r>
      <w:r w:rsidR="0097245E">
        <w:rPr>
          <w:rFonts w:ascii="Arial" w:hAnsi="Arial" w:cs="Arial"/>
          <w:i/>
          <w:sz w:val="22"/>
          <w:szCs w:val="22"/>
          <w:lang w:val="en-GB"/>
        </w:rPr>
        <w:t>.</w:t>
      </w:r>
      <w:r w:rsidRPr="000D2CCA">
        <w:rPr>
          <w:rFonts w:ascii="Arial" w:hAnsi="Arial" w:cs="Arial"/>
          <w:sz w:val="22"/>
          <w:szCs w:val="22"/>
          <w:lang w:val="en-GB"/>
        </w:rPr>
        <w:t xml:space="preserve"> 2011, Vol. 1, no. 2, pp. 202–230.</w:t>
      </w:r>
    </w:p>
    <w:p w14:paraId="15812A65" w14:textId="41FBA96C" w:rsidR="00C97F05" w:rsidRPr="000D2CCA" w:rsidRDefault="00C97F05" w:rsidP="003D2E71">
      <w:pPr>
        <w:pStyle w:val="Normlnweb"/>
        <w:numPr>
          <w:ilvl w:val="0"/>
          <w:numId w:val="7"/>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MASTERS, S.</w:t>
      </w:r>
      <w:r w:rsidR="0097245E">
        <w:rPr>
          <w:rFonts w:ascii="Arial" w:hAnsi="Arial" w:cs="Arial"/>
          <w:sz w:val="22"/>
          <w:szCs w:val="22"/>
          <w:lang w:val="en-GB"/>
        </w:rPr>
        <w:t xml:space="preserve">, </w:t>
      </w:r>
      <w:proofErr w:type="spellStart"/>
      <w:r w:rsidRPr="000D2CCA">
        <w:rPr>
          <w:rFonts w:ascii="Arial" w:hAnsi="Arial" w:cs="Arial"/>
          <w:sz w:val="22"/>
          <w:szCs w:val="22"/>
          <w:lang w:val="en-GB"/>
        </w:rPr>
        <w:t>McRAE</w:t>
      </w:r>
      <w:proofErr w:type="spellEnd"/>
      <w:r w:rsidR="0097245E">
        <w:rPr>
          <w:rFonts w:ascii="Arial" w:hAnsi="Arial" w:cs="Arial"/>
          <w:sz w:val="22"/>
          <w:szCs w:val="22"/>
          <w:lang w:val="en-GB"/>
        </w:rPr>
        <w:t>. B</w:t>
      </w:r>
      <w:r w:rsidRPr="000D2CCA">
        <w:rPr>
          <w:rFonts w:ascii="Arial" w:hAnsi="Arial" w:cs="Arial"/>
          <w:sz w:val="22"/>
          <w:szCs w:val="22"/>
          <w:lang w:val="en-GB"/>
        </w:rPr>
        <w:t xml:space="preserve">. What does Brexit mean for the Brussels Regime. </w:t>
      </w:r>
      <w:r w:rsidRPr="000D2CCA">
        <w:rPr>
          <w:rFonts w:ascii="Arial" w:hAnsi="Arial" w:cs="Arial"/>
          <w:i/>
          <w:sz w:val="22"/>
          <w:szCs w:val="22"/>
          <w:lang w:val="en-GB"/>
        </w:rPr>
        <w:t>Journal of International Arbitration</w:t>
      </w:r>
      <w:r w:rsidR="0097245E">
        <w:rPr>
          <w:rFonts w:ascii="Arial" w:hAnsi="Arial" w:cs="Arial"/>
          <w:i/>
          <w:sz w:val="22"/>
          <w:szCs w:val="22"/>
          <w:lang w:val="en-GB"/>
        </w:rPr>
        <w:t>.</w:t>
      </w:r>
      <w:r w:rsidRPr="000D2CCA">
        <w:rPr>
          <w:rFonts w:ascii="Arial" w:hAnsi="Arial" w:cs="Arial"/>
          <w:sz w:val="22"/>
          <w:szCs w:val="22"/>
          <w:lang w:val="en-GB"/>
        </w:rPr>
        <w:t xml:space="preserve"> 2016, Vol. 33, no. 7, pp. 483–500.</w:t>
      </w:r>
    </w:p>
    <w:p w14:paraId="17442EE0" w14:textId="77777777" w:rsidR="00C97F05" w:rsidRPr="000D2CCA" w:rsidRDefault="00C97F05" w:rsidP="003D2E71">
      <w:pPr>
        <w:pStyle w:val="Normlnweb"/>
        <w:spacing w:before="0" w:beforeAutospacing="0" w:after="120" w:afterAutospacing="0"/>
        <w:jc w:val="both"/>
        <w:rPr>
          <w:b/>
          <w:bCs/>
          <w:lang w:val="en-GB"/>
        </w:rPr>
      </w:pPr>
    </w:p>
    <w:p w14:paraId="2DC6F41C" w14:textId="77777777" w:rsidR="00C97F05" w:rsidRPr="000D2CCA" w:rsidRDefault="00C97F05" w:rsidP="003D2E71">
      <w:pPr>
        <w:pStyle w:val="Nadpis3"/>
        <w:spacing w:line="240" w:lineRule="auto"/>
        <w:rPr>
          <w:lang w:val="en-GB"/>
        </w:rPr>
      </w:pPr>
      <w:r w:rsidRPr="000D2CCA">
        <w:rPr>
          <w:lang w:val="en-GB"/>
        </w:rPr>
        <w:t xml:space="preserve">Chapters in Books, Conference Papers </w:t>
      </w:r>
    </w:p>
    <w:p w14:paraId="448F9A82" w14:textId="77777777" w:rsidR="00C97F05" w:rsidRPr="000D2CCA" w:rsidRDefault="00C97F05" w:rsidP="003D2E71">
      <w:pPr>
        <w:pStyle w:val="Nadpis4"/>
        <w:numPr>
          <w:ilvl w:val="0"/>
          <w:numId w:val="17"/>
        </w:numPr>
        <w:spacing w:line="240" w:lineRule="auto"/>
        <w:rPr>
          <w:lang w:val="en-GB"/>
        </w:rPr>
      </w:pPr>
      <w:r w:rsidRPr="000D2CCA">
        <w:rPr>
          <w:lang w:val="en-GB"/>
        </w:rPr>
        <w:t>Footnotes:</w:t>
      </w:r>
    </w:p>
    <w:p w14:paraId="542739E1" w14:textId="7DA9036A" w:rsidR="00C97F05" w:rsidRPr="000D2CCA" w:rsidRDefault="00C97F05" w:rsidP="003D2E71">
      <w:pPr>
        <w:pStyle w:val="Normlnweb"/>
        <w:numPr>
          <w:ilvl w:val="0"/>
          <w:numId w:val="8"/>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SURNAME, Name (Capital Letter). Title of the Chapter (Contribution). In: SURNAME of Editor/s, Name of Editor/s</w:t>
      </w:r>
      <w:r w:rsidR="00C37F64" w:rsidRPr="000D2CCA">
        <w:rPr>
          <w:rFonts w:ascii="Arial" w:hAnsi="Arial" w:cs="Arial"/>
          <w:sz w:val="22"/>
          <w:szCs w:val="22"/>
          <w:lang w:val="en-GB"/>
        </w:rPr>
        <w:t xml:space="preserve"> (ed./eds.)</w:t>
      </w:r>
      <w:r w:rsidRPr="000D2CCA">
        <w:rPr>
          <w:rFonts w:ascii="Arial" w:hAnsi="Arial" w:cs="Arial"/>
          <w:sz w:val="22"/>
          <w:szCs w:val="22"/>
          <w:lang w:val="en-GB"/>
        </w:rPr>
        <w:t xml:space="preserve">. </w:t>
      </w:r>
      <w:r w:rsidRPr="000D2CCA">
        <w:rPr>
          <w:rFonts w:ascii="Arial" w:hAnsi="Arial" w:cs="Arial"/>
          <w:i/>
          <w:sz w:val="22"/>
          <w:szCs w:val="22"/>
          <w:lang w:val="en-GB"/>
        </w:rPr>
        <w:t>Title of the Book (Conference paper)</w:t>
      </w:r>
      <w:r w:rsidRPr="000D2CCA">
        <w:rPr>
          <w:rFonts w:ascii="Arial" w:hAnsi="Arial" w:cs="Arial"/>
          <w:sz w:val="22"/>
          <w:szCs w:val="22"/>
          <w:lang w:val="en-GB"/>
        </w:rPr>
        <w:t xml:space="preserve">. City: Publisher, Year, </w:t>
      </w:r>
      <w:r w:rsidR="005A2DD3">
        <w:rPr>
          <w:rFonts w:ascii="Arial" w:hAnsi="Arial" w:cs="Arial"/>
          <w:sz w:val="22"/>
          <w:szCs w:val="22"/>
          <w:lang w:val="en-GB"/>
        </w:rPr>
        <w:t xml:space="preserve">specific </w:t>
      </w:r>
      <w:r w:rsidR="00A87743">
        <w:rPr>
          <w:rFonts w:ascii="Arial" w:hAnsi="Arial" w:cs="Arial"/>
          <w:sz w:val="22"/>
          <w:szCs w:val="22"/>
          <w:lang w:val="en-GB"/>
        </w:rPr>
        <w:t>p</w:t>
      </w:r>
      <w:r w:rsidRPr="000D2CCA">
        <w:rPr>
          <w:rFonts w:ascii="Arial" w:hAnsi="Arial" w:cs="Arial"/>
          <w:sz w:val="22"/>
          <w:szCs w:val="22"/>
          <w:lang w:val="en-GB"/>
        </w:rPr>
        <w:t>age/pages.</w:t>
      </w:r>
    </w:p>
    <w:p w14:paraId="7FE43F9B" w14:textId="77777777" w:rsidR="00C97F05" w:rsidRPr="000D2CCA" w:rsidRDefault="00C97F05" w:rsidP="003D2E71">
      <w:pPr>
        <w:pStyle w:val="Normlnweb"/>
        <w:numPr>
          <w:ilvl w:val="0"/>
          <w:numId w:val="10"/>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MALACHTA, R. Mutual Trust as a Way to an Unconditional Automatic Recognition of Foreign Judgments. In: ROZEHNALOVÁ, N. (ed.). </w:t>
      </w:r>
      <w:r w:rsidRPr="000D2CCA">
        <w:rPr>
          <w:rFonts w:ascii="Arial" w:hAnsi="Arial" w:cs="Arial"/>
          <w:i/>
          <w:sz w:val="22"/>
          <w:szCs w:val="22"/>
          <w:lang w:val="en-GB"/>
        </w:rPr>
        <w:t>Universal, Regional, National – Ways of the Development of Private International Law in 21st Century.</w:t>
      </w:r>
      <w:r w:rsidRPr="000D2CCA">
        <w:rPr>
          <w:rFonts w:ascii="Arial" w:hAnsi="Arial" w:cs="Arial"/>
          <w:sz w:val="22"/>
          <w:szCs w:val="22"/>
          <w:lang w:val="en-GB"/>
        </w:rPr>
        <w:t xml:space="preserve"> Brno: Masaryk University, 2019, pp. 214–216.</w:t>
      </w:r>
    </w:p>
    <w:p w14:paraId="72691976" w14:textId="7E145A35" w:rsidR="00C97F05" w:rsidRPr="000D2CCA" w:rsidRDefault="00C97F05" w:rsidP="003D2E71">
      <w:pPr>
        <w:pStyle w:val="Normlnweb"/>
        <w:numPr>
          <w:ilvl w:val="0"/>
          <w:numId w:val="10"/>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ARENAS GARCÍA, R. Abolition of Exequatur: Problems and Solutions – Mutual Recognition, Mutual Trust and Recognition of Foreign Judgements: Too Many Words in the Sea. In: BONOMI, A.</w:t>
      </w:r>
      <w:r w:rsidR="00A87743">
        <w:rPr>
          <w:rFonts w:ascii="Arial" w:hAnsi="Arial" w:cs="Arial"/>
          <w:sz w:val="22"/>
          <w:szCs w:val="22"/>
          <w:lang w:val="en-GB"/>
        </w:rPr>
        <w:t xml:space="preserve">, </w:t>
      </w:r>
      <w:r w:rsidRPr="000D2CCA">
        <w:rPr>
          <w:rFonts w:ascii="Arial" w:hAnsi="Arial" w:cs="Arial"/>
          <w:sz w:val="22"/>
          <w:szCs w:val="22"/>
          <w:lang w:val="en-GB"/>
        </w:rPr>
        <w:t>ROMANO</w:t>
      </w:r>
      <w:r w:rsidR="00A87743">
        <w:rPr>
          <w:rFonts w:ascii="Arial" w:hAnsi="Arial" w:cs="Arial"/>
          <w:sz w:val="22"/>
          <w:szCs w:val="22"/>
          <w:lang w:val="en-GB"/>
        </w:rPr>
        <w:t xml:space="preserve">, </w:t>
      </w:r>
      <w:r w:rsidR="00A87743" w:rsidRPr="000D2CCA">
        <w:rPr>
          <w:rFonts w:ascii="Arial" w:hAnsi="Arial" w:cs="Arial"/>
          <w:sz w:val="22"/>
          <w:szCs w:val="22"/>
          <w:lang w:val="en-GB"/>
        </w:rPr>
        <w:t>G. P.</w:t>
      </w:r>
      <w:r w:rsidRPr="000D2CCA">
        <w:rPr>
          <w:rFonts w:ascii="Arial" w:hAnsi="Arial" w:cs="Arial"/>
          <w:sz w:val="22"/>
          <w:szCs w:val="22"/>
          <w:lang w:val="en-GB"/>
        </w:rPr>
        <w:t xml:space="preserve"> (eds.). </w:t>
      </w:r>
      <w:r w:rsidRPr="000D2CCA">
        <w:rPr>
          <w:rFonts w:ascii="Arial" w:hAnsi="Arial" w:cs="Arial"/>
          <w:i/>
          <w:sz w:val="22"/>
          <w:szCs w:val="22"/>
          <w:lang w:val="en-GB"/>
        </w:rPr>
        <w:t>Yearbook of Private International Law 2010. Vol. XII</w:t>
      </w:r>
      <w:r w:rsidRPr="000D2CCA">
        <w:rPr>
          <w:rFonts w:ascii="Arial" w:hAnsi="Arial" w:cs="Arial"/>
          <w:sz w:val="22"/>
          <w:szCs w:val="22"/>
          <w:lang w:val="en-GB"/>
        </w:rPr>
        <w:t>. Lausanne: Swiss Institute of Comparative Law, Munich: Sellier European Law Publishers, 2011, p. 372.</w:t>
      </w:r>
    </w:p>
    <w:p w14:paraId="160BF995" w14:textId="33859DA3" w:rsidR="00C97F05" w:rsidRPr="000D2CCA" w:rsidRDefault="00C97F05" w:rsidP="003D2E71">
      <w:pPr>
        <w:pStyle w:val="Normlnweb"/>
        <w:numPr>
          <w:ilvl w:val="0"/>
          <w:numId w:val="10"/>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BOGDAN, M. Private International Law as Component of the Law of the Forum. General Course on Private International Law. In: </w:t>
      </w:r>
      <w:proofErr w:type="spellStart"/>
      <w:r w:rsidRPr="000D2CCA">
        <w:rPr>
          <w:rFonts w:ascii="Arial" w:hAnsi="Arial" w:cs="Arial"/>
          <w:i/>
          <w:sz w:val="22"/>
          <w:szCs w:val="22"/>
          <w:lang w:val="en-GB"/>
        </w:rPr>
        <w:t>Recueil</w:t>
      </w:r>
      <w:proofErr w:type="spellEnd"/>
      <w:r w:rsidRPr="000D2CCA">
        <w:rPr>
          <w:rFonts w:ascii="Arial" w:hAnsi="Arial" w:cs="Arial"/>
          <w:i/>
          <w:sz w:val="22"/>
          <w:szCs w:val="22"/>
          <w:lang w:val="en-GB"/>
        </w:rPr>
        <w:t xml:space="preserve"> des </w:t>
      </w:r>
      <w:proofErr w:type="spellStart"/>
      <w:r w:rsidRPr="000D2CCA">
        <w:rPr>
          <w:rFonts w:ascii="Arial" w:hAnsi="Arial" w:cs="Arial"/>
          <w:i/>
          <w:sz w:val="22"/>
          <w:szCs w:val="22"/>
          <w:lang w:val="en-GB"/>
        </w:rPr>
        <w:t>cours</w:t>
      </w:r>
      <w:proofErr w:type="spellEnd"/>
      <w:r w:rsidRPr="000D2CCA">
        <w:rPr>
          <w:rFonts w:ascii="Arial" w:hAnsi="Arial" w:cs="Arial"/>
          <w:i/>
          <w:sz w:val="22"/>
          <w:szCs w:val="22"/>
          <w:lang w:val="en-GB"/>
        </w:rPr>
        <w:t xml:space="preserve"> 2010.</w:t>
      </w:r>
      <w:r w:rsidRPr="000D2CCA">
        <w:rPr>
          <w:rFonts w:ascii="Arial" w:hAnsi="Arial" w:cs="Arial"/>
          <w:sz w:val="22"/>
          <w:szCs w:val="22"/>
          <w:lang w:val="en-GB"/>
        </w:rPr>
        <w:t xml:space="preserve"> Leiden/Boston: </w:t>
      </w:r>
      <w:proofErr w:type="spellStart"/>
      <w:r w:rsidRPr="000D2CCA">
        <w:rPr>
          <w:rFonts w:ascii="Arial" w:hAnsi="Arial" w:cs="Arial"/>
          <w:sz w:val="22"/>
          <w:szCs w:val="22"/>
          <w:lang w:val="en-GB"/>
        </w:rPr>
        <w:t>Martinus</w:t>
      </w:r>
      <w:proofErr w:type="spellEnd"/>
      <w:r w:rsidRPr="000D2CCA">
        <w:rPr>
          <w:rFonts w:ascii="Arial" w:hAnsi="Arial" w:cs="Arial"/>
          <w:sz w:val="22"/>
          <w:szCs w:val="22"/>
          <w:lang w:val="en-GB"/>
        </w:rPr>
        <w:t xml:space="preserve"> </w:t>
      </w:r>
      <w:proofErr w:type="spellStart"/>
      <w:r w:rsidRPr="000D2CCA">
        <w:rPr>
          <w:rFonts w:ascii="Arial" w:hAnsi="Arial" w:cs="Arial"/>
          <w:sz w:val="22"/>
          <w:szCs w:val="22"/>
          <w:lang w:val="en-GB"/>
        </w:rPr>
        <w:t>Nijhoff</w:t>
      </w:r>
      <w:proofErr w:type="spellEnd"/>
      <w:r w:rsidRPr="000D2CCA">
        <w:rPr>
          <w:rFonts w:ascii="Arial" w:hAnsi="Arial" w:cs="Arial"/>
          <w:sz w:val="22"/>
          <w:szCs w:val="22"/>
          <w:lang w:val="en-GB"/>
        </w:rPr>
        <w:t xml:space="preserve"> Publishers, 2011, Vol. 348, p. 114.</w:t>
      </w:r>
    </w:p>
    <w:p w14:paraId="08EB5F31" w14:textId="77777777" w:rsidR="00C97F05" w:rsidRPr="000D2CCA" w:rsidRDefault="00C97F05" w:rsidP="003D2E71">
      <w:pPr>
        <w:pStyle w:val="Normlnweb"/>
        <w:spacing w:before="0" w:beforeAutospacing="0" w:after="120" w:afterAutospacing="0"/>
        <w:ind w:left="1440"/>
        <w:jc w:val="both"/>
        <w:rPr>
          <w:lang w:val="en-GB"/>
        </w:rPr>
      </w:pPr>
    </w:p>
    <w:p w14:paraId="647285F8" w14:textId="77777777" w:rsidR="00C97F05" w:rsidRPr="000D2CCA" w:rsidRDefault="00C97F05" w:rsidP="003D2E71">
      <w:pPr>
        <w:pStyle w:val="Nadpis4"/>
        <w:numPr>
          <w:ilvl w:val="0"/>
          <w:numId w:val="17"/>
        </w:numPr>
        <w:spacing w:line="240" w:lineRule="auto"/>
        <w:rPr>
          <w:lang w:val="en-GB"/>
        </w:rPr>
      </w:pPr>
      <w:r w:rsidRPr="000D2CCA">
        <w:rPr>
          <w:lang w:val="en-GB"/>
        </w:rPr>
        <w:t>List of References:</w:t>
      </w:r>
    </w:p>
    <w:p w14:paraId="188A67D1" w14:textId="3662C30B" w:rsidR="00C97F05" w:rsidRPr="000D2CCA" w:rsidRDefault="00C97F05" w:rsidP="003D2E71">
      <w:pPr>
        <w:pStyle w:val="Normlnweb"/>
        <w:numPr>
          <w:ilvl w:val="0"/>
          <w:numId w:val="9"/>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SURNAME, Name (Capital Letter). Title of the Chapter. In: SURNAME of Editor/s, Name of Editor/s</w:t>
      </w:r>
      <w:r w:rsidR="007D3259" w:rsidRPr="000D2CCA">
        <w:rPr>
          <w:rFonts w:ascii="Arial" w:hAnsi="Arial" w:cs="Arial"/>
          <w:sz w:val="22"/>
          <w:szCs w:val="22"/>
          <w:lang w:val="en-GB"/>
        </w:rPr>
        <w:t xml:space="preserve"> (ed./eds.)</w:t>
      </w:r>
      <w:r w:rsidRPr="000D2CCA">
        <w:rPr>
          <w:rFonts w:ascii="Arial" w:hAnsi="Arial" w:cs="Arial"/>
          <w:sz w:val="22"/>
          <w:szCs w:val="22"/>
          <w:lang w:val="en-GB"/>
        </w:rPr>
        <w:t xml:space="preserve">. </w:t>
      </w:r>
      <w:r w:rsidRPr="000D2CCA">
        <w:rPr>
          <w:rFonts w:ascii="Arial" w:hAnsi="Arial" w:cs="Arial"/>
          <w:i/>
          <w:sz w:val="22"/>
          <w:szCs w:val="22"/>
          <w:lang w:val="en-GB"/>
        </w:rPr>
        <w:t>Title of the Book (Conference paper)</w:t>
      </w:r>
      <w:r w:rsidRPr="000D2CCA">
        <w:rPr>
          <w:rFonts w:ascii="Arial" w:hAnsi="Arial" w:cs="Arial"/>
          <w:sz w:val="22"/>
          <w:szCs w:val="22"/>
          <w:lang w:val="en-GB"/>
        </w:rPr>
        <w:t xml:space="preserve">. City: Publisher, Year, </w:t>
      </w:r>
      <w:r w:rsidR="00A87743">
        <w:rPr>
          <w:rFonts w:ascii="Arial" w:hAnsi="Arial" w:cs="Arial"/>
          <w:sz w:val="22"/>
          <w:szCs w:val="22"/>
          <w:lang w:val="en-GB"/>
        </w:rPr>
        <w:t>p</w:t>
      </w:r>
      <w:r w:rsidRPr="000D2CCA">
        <w:rPr>
          <w:rFonts w:ascii="Arial" w:hAnsi="Arial" w:cs="Arial"/>
          <w:sz w:val="22"/>
          <w:szCs w:val="22"/>
          <w:lang w:val="en-GB"/>
        </w:rPr>
        <w:t>ages of the chapter.</w:t>
      </w:r>
    </w:p>
    <w:p w14:paraId="10BD85E9" w14:textId="77777777" w:rsidR="00C97F05" w:rsidRPr="000D2CCA" w:rsidRDefault="00C97F05" w:rsidP="003D2E71">
      <w:pPr>
        <w:pStyle w:val="Normlnweb"/>
        <w:numPr>
          <w:ilvl w:val="0"/>
          <w:numId w:val="1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MALACHTA, R. Mutual Trust as a Way to an Unconditional Automatic Recognition of Foreign Judgments. In: ROZEHNALOVÁ, N. (ed.). </w:t>
      </w:r>
      <w:r w:rsidRPr="000D2CCA">
        <w:rPr>
          <w:rFonts w:ascii="Arial" w:hAnsi="Arial" w:cs="Arial"/>
          <w:i/>
          <w:sz w:val="22"/>
          <w:szCs w:val="22"/>
          <w:lang w:val="en-GB"/>
        </w:rPr>
        <w:t>Universal, Regional, National – Ways of the Development of Private International Law in 21st Century.</w:t>
      </w:r>
      <w:r w:rsidRPr="000D2CCA">
        <w:rPr>
          <w:rFonts w:ascii="Arial" w:hAnsi="Arial" w:cs="Arial"/>
          <w:sz w:val="22"/>
          <w:szCs w:val="22"/>
          <w:lang w:val="en-GB"/>
        </w:rPr>
        <w:t xml:space="preserve"> Brno: Masaryk University, 2019, pp. 211–241. </w:t>
      </w:r>
    </w:p>
    <w:p w14:paraId="51C6EBF9" w14:textId="77777777" w:rsidR="00C97F05" w:rsidRPr="000D2CCA" w:rsidRDefault="00C97F05" w:rsidP="003D2E71">
      <w:pPr>
        <w:pStyle w:val="Normlnweb"/>
        <w:spacing w:before="0" w:beforeAutospacing="0" w:after="120" w:afterAutospacing="0"/>
        <w:jc w:val="both"/>
        <w:rPr>
          <w:b/>
          <w:bCs/>
          <w:lang w:val="en-GB"/>
        </w:rPr>
      </w:pPr>
    </w:p>
    <w:p w14:paraId="57578F5D" w14:textId="77777777" w:rsidR="00C97F05" w:rsidRPr="000D2CCA" w:rsidRDefault="00C97F05" w:rsidP="003D2E71">
      <w:pPr>
        <w:pStyle w:val="Nadpis3"/>
        <w:spacing w:line="240" w:lineRule="auto"/>
        <w:rPr>
          <w:lang w:val="en-GB"/>
        </w:rPr>
      </w:pPr>
      <w:r w:rsidRPr="000D2CCA">
        <w:rPr>
          <w:lang w:val="en-GB"/>
        </w:rPr>
        <w:t>Electronic Sources</w:t>
      </w:r>
    </w:p>
    <w:p w14:paraId="5523CFCE" w14:textId="77777777" w:rsidR="00C97F05" w:rsidRPr="000D2CCA" w:rsidRDefault="00C97F05" w:rsidP="003D2E71">
      <w:pPr>
        <w:pStyle w:val="Nadpis4"/>
        <w:numPr>
          <w:ilvl w:val="0"/>
          <w:numId w:val="18"/>
        </w:numPr>
        <w:spacing w:line="240" w:lineRule="auto"/>
        <w:rPr>
          <w:lang w:val="en-GB"/>
        </w:rPr>
      </w:pPr>
      <w:r w:rsidRPr="000D2CCA">
        <w:rPr>
          <w:lang w:val="en-GB"/>
        </w:rPr>
        <w:t>Footnotes and List of References:</w:t>
      </w:r>
    </w:p>
    <w:p w14:paraId="59E7F6B0" w14:textId="50AB0B1A" w:rsidR="00C97F05" w:rsidRPr="000D2CCA" w:rsidRDefault="00C97F05" w:rsidP="003D2E71">
      <w:pPr>
        <w:pStyle w:val="Normlnweb"/>
        <w:numPr>
          <w:ilvl w:val="0"/>
          <w:numId w:val="12"/>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SURNAME, Name (Capital Letter). Title of the document</w:t>
      </w:r>
      <w:r w:rsidR="00A87743">
        <w:rPr>
          <w:rFonts w:ascii="Arial" w:hAnsi="Arial" w:cs="Arial"/>
          <w:sz w:val="22"/>
          <w:szCs w:val="22"/>
          <w:lang w:val="en-GB"/>
        </w:rPr>
        <w:t xml:space="preserve">. </w:t>
      </w:r>
      <w:r w:rsidR="00A87743" w:rsidRPr="000D2CCA">
        <w:rPr>
          <w:rFonts w:ascii="Arial" w:hAnsi="Arial" w:cs="Arial"/>
          <w:i/>
          <w:iCs/>
          <w:sz w:val="22"/>
          <w:szCs w:val="22"/>
          <w:lang w:val="en-GB"/>
        </w:rPr>
        <w:t>Publishing platform</w:t>
      </w:r>
      <w:r w:rsidRPr="000D2CCA">
        <w:rPr>
          <w:rFonts w:ascii="Arial" w:hAnsi="Arial" w:cs="Arial"/>
          <w:sz w:val="22"/>
          <w:szCs w:val="22"/>
          <w:lang w:val="en-GB"/>
        </w:rPr>
        <w:t xml:space="preserve"> [online]. Date of publication (</w:t>
      </w:r>
      <w:r w:rsidR="00A87743">
        <w:rPr>
          <w:rFonts w:ascii="Arial" w:hAnsi="Arial" w:cs="Arial"/>
          <w:sz w:val="22"/>
          <w:szCs w:val="22"/>
          <w:lang w:val="en-GB"/>
        </w:rPr>
        <w:t>if known), page/pages</w:t>
      </w:r>
      <w:r w:rsidRPr="000D2CCA">
        <w:rPr>
          <w:rFonts w:ascii="Arial" w:hAnsi="Arial" w:cs="Arial"/>
          <w:sz w:val="22"/>
          <w:szCs w:val="22"/>
          <w:lang w:val="en-GB"/>
        </w:rPr>
        <w:t xml:space="preserve"> [Date of accessing]. </w:t>
      </w:r>
      <w:r w:rsidR="00A87743">
        <w:rPr>
          <w:rFonts w:ascii="Arial" w:hAnsi="Arial" w:cs="Arial"/>
          <w:sz w:val="22"/>
          <w:szCs w:val="22"/>
          <w:lang w:val="en-GB"/>
        </w:rPr>
        <w:t>Available at: h</w:t>
      </w:r>
      <w:r w:rsidRPr="000D2CCA">
        <w:rPr>
          <w:rFonts w:ascii="Arial" w:hAnsi="Arial" w:cs="Arial"/>
          <w:sz w:val="22"/>
          <w:szCs w:val="22"/>
          <w:lang w:val="en-GB"/>
        </w:rPr>
        <w:t xml:space="preserve">yperlink </w:t>
      </w:r>
    </w:p>
    <w:p w14:paraId="32EFAA82" w14:textId="07A42E37" w:rsidR="00C97F05" w:rsidRDefault="00C97F05" w:rsidP="003D2E71">
      <w:pPr>
        <w:pStyle w:val="Normlnweb"/>
        <w:numPr>
          <w:ilvl w:val="0"/>
          <w:numId w:val="1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DONEGAN, T. Brexit: The Great Repeal Bill</w:t>
      </w:r>
      <w:r w:rsidR="00A87743">
        <w:rPr>
          <w:rFonts w:ascii="Arial" w:hAnsi="Arial" w:cs="Arial"/>
          <w:sz w:val="22"/>
          <w:szCs w:val="22"/>
          <w:lang w:val="en-GB"/>
        </w:rPr>
        <w:t xml:space="preserve">. </w:t>
      </w:r>
      <w:r w:rsidR="00A87743" w:rsidRPr="000D2CCA">
        <w:rPr>
          <w:rFonts w:ascii="Arial" w:hAnsi="Arial" w:cs="Arial"/>
          <w:i/>
          <w:sz w:val="22"/>
          <w:szCs w:val="22"/>
          <w:lang w:val="en-GB"/>
        </w:rPr>
        <w:t>Harvard Law School Forum on Corporate Governance</w:t>
      </w:r>
      <w:r w:rsidRPr="000D2CCA">
        <w:rPr>
          <w:rFonts w:ascii="Arial" w:hAnsi="Arial" w:cs="Arial"/>
          <w:sz w:val="22"/>
          <w:szCs w:val="22"/>
          <w:lang w:val="en-GB"/>
        </w:rPr>
        <w:t xml:space="preserve"> [online].</w:t>
      </w:r>
      <w:r w:rsidR="00A87743">
        <w:rPr>
          <w:rFonts w:ascii="Arial" w:hAnsi="Arial" w:cs="Arial"/>
          <w:sz w:val="22"/>
          <w:szCs w:val="22"/>
          <w:lang w:val="en-GB"/>
        </w:rPr>
        <w:t xml:space="preserve"> </w:t>
      </w:r>
      <w:r w:rsidRPr="000D2CCA">
        <w:rPr>
          <w:rFonts w:ascii="Arial" w:hAnsi="Arial" w:cs="Arial"/>
          <w:sz w:val="22"/>
          <w:szCs w:val="22"/>
          <w:lang w:val="en-GB"/>
        </w:rPr>
        <w:t>13. 8. 2017</w:t>
      </w:r>
      <w:r w:rsidR="00A87743">
        <w:rPr>
          <w:rFonts w:ascii="Arial" w:hAnsi="Arial" w:cs="Arial"/>
          <w:sz w:val="22"/>
          <w:szCs w:val="22"/>
          <w:lang w:val="en-GB"/>
        </w:rPr>
        <w:t>, p. 18</w:t>
      </w:r>
      <w:r w:rsidRPr="000D2CCA">
        <w:rPr>
          <w:rFonts w:ascii="Arial" w:hAnsi="Arial" w:cs="Arial"/>
          <w:sz w:val="22"/>
          <w:szCs w:val="22"/>
          <w:lang w:val="en-GB"/>
        </w:rPr>
        <w:t xml:space="preserve"> [cit. 20. 9. 2020]. Available at: </w:t>
      </w:r>
      <w:r w:rsidR="00A87743" w:rsidRPr="00A87743">
        <w:rPr>
          <w:rFonts w:ascii="Arial" w:hAnsi="Arial" w:cs="Arial"/>
          <w:sz w:val="22"/>
          <w:szCs w:val="22"/>
          <w:lang w:val="en-GB"/>
        </w:rPr>
        <w:t>https://corpgov.law.harvard.edu/2017/08/13/brexit-the-great-repeal-bill/</w:t>
      </w:r>
    </w:p>
    <w:p w14:paraId="5F3522F4" w14:textId="62E114DC" w:rsidR="00A87743" w:rsidRPr="000D2CCA" w:rsidRDefault="00A87743" w:rsidP="003D2E71">
      <w:pPr>
        <w:pStyle w:val="Normlnweb"/>
        <w:numPr>
          <w:ilvl w:val="0"/>
          <w:numId w:val="11"/>
        </w:numPr>
        <w:spacing w:before="0" w:beforeAutospacing="0" w:after="120" w:afterAutospacing="0"/>
        <w:jc w:val="both"/>
        <w:rPr>
          <w:rFonts w:ascii="Arial" w:hAnsi="Arial" w:cs="Arial"/>
          <w:sz w:val="22"/>
          <w:szCs w:val="22"/>
          <w:lang w:val="en-GB"/>
        </w:rPr>
      </w:pPr>
      <w:r w:rsidRPr="00A87743">
        <w:rPr>
          <w:rFonts w:ascii="Arial" w:hAnsi="Arial" w:cs="Arial"/>
          <w:sz w:val="22"/>
          <w:szCs w:val="22"/>
          <w:lang w:val="en-GB"/>
        </w:rPr>
        <w:t xml:space="preserve">Digital solutions during the pandemic. </w:t>
      </w:r>
      <w:r w:rsidRPr="00A87743">
        <w:rPr>
          <w:rFonts w:ascii="Arial" w:hAnsi="Arial" w:cs="Arial"/>
          <w:i/>
          <w:iCs/>
          <w:sz w:val="22"/>
          <w:szCs w:val="22"/>
          <w:lang w:val="en-GB"/>
        </w:rPr>
        <w:t>European Commission</w:t>
      </w:r>
      <w:r w:rsidRPr="00A87743">
        <w:rPr>
          <w:rFonts w:ascii="Arial" w:hAnsi="Arial" w:cs="Arial"/>
          <w:sz w:val="22"/>
          <w:szCs w:val="22"/>
          <w:lang w:val="en-GB"/>
        </w:rPr>
        <w:t xml:space="preserve"> [online]. [cit. 29. 5. 2022]. Available at: https://ec.europa.eu/info/live-work-travel-eu/coronavirus-response/ digital-solutions-during-</w:t>
      </w:r>
      <w:proofErr w:type="spellStart"/>
      <w:r w:rsidRPr="00A87743">
        <w:rPr>
          <w:rFonts w:ascii="Arial" w:hAnsi="Arial" w:cs="Arial"/>
          <w:sz w:val="22"/>
          <w:szCs w:val="22"/>
          <w:lang w:val="en-GB"/>
        </w:rPr>
        <w:t>pandemic_en</w:t>
      </w:r>
      <w:proofErr w:type="spellEnd"/>
      <w:r>
        <w:rPr>
          <w:rFonts w:ascii="Arial" w:hAnsi="Arial" w:cs="Arial"/>
          <w:sz w:val="22"/>
          <w:szCs w:val="22"/>
          <w:lang w:val="en-GB"/>
        </w:rPr>
        <w:t xml:space="preserve">  </w:t>
      </w:r>
    </w:p>
    <w:p w14:paraId="2F6D1EA2" w14:textId="7F780B78" w:rsidR="00C97F05" w:rsidRDefault="00C97F05" w:rsidP="003D2E71">
      <w:pPr>
        <w:pStyle w:val="Normlnweb"/>
        <w:numPr>
          <w:ilvl w:val="0"/>
          <w:numId w:val="1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Support for the UK’s intent to accede to the Lugano Convention 2007</w:t>
      </w:r>
      <w:r w:rsidR="00A87743">
        <w:rPr>
          <w:rFonts w:ascii="Arial" w:hAnsi="Arial" w:cs="Arial"/>
          <w:sz w:val="22"/>
          <w:szCs w:val="22"/>
          <w:lang w:val="en-GB"/>
        </w:rPr>
        <w:t xml:space="preserve">. </w:t>
      </w:r>
      <w:r w:rsidR="00A87743" w:rsidRPr="000D2CCA">
        <w:rPr>
          <w:rFonts w:ascii="Arial" w:hAnsi="Arial" w:cs="Arial"/>
          <w:i/>
          <w:sz w:val="22"/>
          <w:szCs w:val="22"/>
          <w:lang w:val="en-GB"/>
        </w:rPr>
        <w:t>GOV.UK</w:t>
      </w:r>
      <w:r w:rsidRPr="000D2CCA">
        <w:rPr>
          <w:rFonts w:ascii="Arial" w:hAnsi="Arial" w:cs="Arial"/>
          <w:sz w:val="22"/>
          <w:szCs w:val="22"/>
          <w:lang w:val="en-GB"/>
        </w:rPr>
        <w:t xml:space="preserve"> [online]. 23. 1. 2020 [cit. 23. 10. 2020]. Available at: https:// </w:t>
      </w:r>
      <w:r w:rsidR="00A87743" w:rsidRPr="00A87743">
        <w:rPr>
          <w:rFonts w:ascii="Arial" w:hAnsi="Arial" w:cs="Arial"/>
          <w:sz w:val="22"/>
          <w:szCs w:val="22"/>
          <w:lang w:val="en-GB"/>
        </w:rPr>
        <w:t>www.gov.uk/government/news/support-for-the-uks-intent-to-accede-to-the-lugano-convention-2007</w:t>
      </w:r>
    </w:p>
    <w:p w14:paraId="60618D0B" w14:textId="771924AD" w:rsidR="00A87743" w:rsidRPr="000D2CCA" w:rsidRDefault="00A87743" w:rsidP="003D2E71">
      <w:pPr>
        <w:pStyle w:val="Normlnweb"/>
        <w:numPr>
          <w:ilvl w:val="0"/>
          <w:numId w:val="11"/>
        </w:numPr>
        <w:spacing w:before="0" w:beforeAutospacing="0" w:after="120" w:afterAutospacing="0"/>
        <w:jc w:val="both"/>
        <w:rPr>
          <w:rFonts w:ascii="Arial" w:hAnsi="Arial" w:cs="Arial"/>
          <w:sz w:val="22"/>
          <w:szCs w:val="22"/>
          <w:lang w:val="en-GB"/>
        </w:rPr>
      </w:pPr>
      <w:r w:rsidRPr="00A87743">
        <w:rPr>
          <w:rFonts w:ascii="Arial" w:hAnsi="Arial" w:cs="Arial"/>
          <w:sz w:val="22"/>
          <w:szCs w:val="22"/>
          <w:lang w:val="en-GB"/>
        </w:rPr>
        <w:t xml:space="preserve">SOURDIN, T., LI, B., </w:t>
      </w:r>
      <w:proofErr w:type="spellStart"/>
      <w:r w:rsidRPr="00A87743">
        <w:rPr>
          <w:rFonts w:ascii="Arial" w:hAnsi="Arial" w:cs="Arial"/>
          <w:sz w:val="22"/>
          <w:szCs w:val="22"/>
          <w:lang w:val="en-GB"/>
        </w:rPr>
        <w:t>McNAMARA</w:t>
      </w:r>
      <w:proofErr w:type="spellEnd"/>
      <w:r w:rsidRPr="00A87743">
        <w:rPr>
          <w:rFonts w:ascii="Arial" w:hAnsi="Arial" w:cs="Arial"/>
          <w:sz w:val="22"/>
          <w:szCs w:val="22"/>
          <w:lang w:val="en-GB"/>
        </w:rPr>
        <w:t xml:space="preserve">, D. M. Court innovations and access to justice in times of crisis. </w:t>
      </w:r>
      <w:r w:rsidRPr="00A87743">
        <w:rPr>
          <w:rFonts w:ascii="Arial" w:hAnsi="Arial" w:cs="Arial"/>
          <w:i/>
          <w:iCs/>
          <w:sz w:val="22"/>
          <w:szCs w:val="22"/>
          <w:lang w:val="en-GB"/>
        </w:rPr>
        <w:t>Health Policy and Technology</w:t>
      </w:r>
      <w:r w:rsidRPr="00A87743">
        <w:rPr>
          <w:rFonts w:ascii="Arial" w:hAnsi="Arial" w:cs="Arial"/>
          <w:sz w:val="22"/>
          <w:szCs w:val="22"/>
          <w:lang w:val="en-GB"/>
        </w:rPr>
        <w:t xml:space="preserve"> [online]. 2020, Vol. 9, no. 4, pp. 447–453 [cit. 29. 9. 2022]. Available at: https://www.ncbi.nlm.nih.gov/pmc/articles/ PMC7456584/#bib0018</w:t>
      </w:r>
    </w:p>
    <w:p w14:paraId="083D0BCA" w14:textId="77777777" w:rsidR="00C97F05" w:rsidRPr="000D2CCA" w:rsidRDefault="00C97F05" w:rsidP="003D2E71">
      <w:pPr>
        <w:pStyle w:val="Normlnweb"/>
        <w:spacing w:before="0" w:beforeAutospacing="0" w:after="120" w:afterAutospacing="0"/>
        <w:jc w:val="both"/>
        <w:rPr>
          <w:lang w:val="en-GB"/>
        </w:rPr>
      </w:pPr>
    </w:p>
    <w:p w14:paraId="28F9FD2E" w14:textId="77777777" w:rsidR="00C97F05" w:rsidRPr="000D2CCA" w:rsidRDefault="00C97F05" w:rsidP="003D2E71">
      <w:pPr>
        <w:pStyle w:val="Nadpis3"/>
        <w:spacing w:line="240" w:lineRule="auto"/>
        <w:rPr>
          <w:lang w:val="en-GB"/>
        </w:rPr>
      </w:pPr>
      <w:r w:rsidRPr="000D2CCA">
        <w:rPr>
          <w:lang w:val="en-GB"/>
        </w:rPr>
        <w:t>Legal Acts</w:t>
      </w:r>
    </w:p>
    <w:p w14:paraId="19729B6A" w14:textId="52458032" w:rsidR="00C97F05" w:rsidRPr="000D2CCA" w:rsidRDefault="00C97F05" w:rsidP="007B1E3B">
      <w:pPr>
        <w:pStyle w:val="Normlnweb"/>
        <w:numPr>
          <w:ilvl w:val="0"/>
          <w:numId w:val="22"/>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Only in footnotes, </w:t>
      </w:r>
      <w:r w:rsidRPr="00A87743">
        <w:rPr>
          <w:rFonts w:ascii="Arial" w:eastAsiaTheme="majorEastAsia" w:hAnsi="Arial" w:cs="Arial"/>
          <w:bCs/>
          <w:iCs/>
          <w:color w:val="0000DC"/>
          <w:sz w:val="22"/>
          <w:szCs w:val="22"/>
          <w:lang w:val="en-GB"/>
        </w:rPr>
        <w:t>not in List of References</w:t>
      </w:r>
      <w:r w:rsidRPr="00A87743">
        <w:rPr>
          <w:rFonts w:ascii="Arial" w:eastAsiaTheme="majorEastAsia" w:hAnsi="Arial" w:cs="Arial"/>
          <w:bCs/>
          <w:iCs/>
          <w:sz w:val="22"/>
          <w:szCs w:val="22"/>
          <w:lang w:val="en-GB"/>
        </w:rPr>
        <w:t>.</w:t>
      </w:r>
    </w:p>
    <w:p w14:paraId="5CC0F2D8" w14:textId="49353E35" w:rsidR="00C97F05" w:rsidRPr="000D2CCA" w:rsidRDefault="00C97F05" w:rsidP="003D2E71">
      <w:pPr>
        <w:pStyle w:val="Nadpis4"/>
        <w:numPr>
          <w:ilvl w:val="0"/>
          <w:numId w:val="19"/>
        </w:numPr>
        <w:spacing w:line="240" w:lineRule="auto"/>
        <w:rPr>
          <w:lang w:val="en-GB"/>
        </w:rPr>
      </w:pPr>
      <w:r w:rsidRPr="000D2CCA">
        <w:rPr>
          <w:lang w:val="en-GB"/>
        </w:rPr>
        <w:t>Footnotes:</w:t>
      </w:r>
    </w:p>
    <w:p w14:paraId="1AA05165" w14:textId="4F53E052" w:rsidR="004A5DD0" w:rsidRPr="000D2CCA" w:rsidRDefault="004A5DD0" w:rsidP="00E813CB">
      <w:pPr>
        <w:pStyle w:val="Odstavecseseznamem"/>
        <w:numPr>
          <w:ilvl w:val="0"/>
          <w:numId w:val="21"/>
        </w:numPr>
        <w:spacing w:line="240" w:lineRule="auto"/>
        <w:contextualSpacing w:val="0"/>
        <w:jc w:val="both"/>
        <w:rPr>
          <w:rFonts w:ascii="Arial" w:hAnsi="Arial" w:cs="Arial"/>
          <w:lang w:val="en-GB"/>
        </w:rPr>
      </w:pPr>
      <w:r w:rsidRPr="000D2CCA">
        <w:rPr>
          <w:rFonts w:ascii="Arial" w:hAnsi="Arial" w:cs="Arial"/>
          <w:bCs/>
          <w:lang w:val="en-GB"/>
        </w:rPr>
        <w:t xml:space="preserve">Please </w:t>
      </w:r>
      <w:r w:rsidRPr="00A87743">
        <w:rPr>
          <w:rFonts w:ascii="Arial" w:eastAsiaTheme="majorEastAsia" w:hAnsi="Arial" w:cs="Arial"/>
          <w:bCs/>
          <w:iCs/>
          <w:color w:val="0000DC"/>
          <w:lang w:val="en-GB"/>
        </w:rPr>
        <w:t>use established abbreviations</w:t>
      </w:r>
      <w:r w:rsidRPr="000D2CCA">
        <w:rPr>
          <w:rFonts w:ascii="Arial" w:hAnsi="Arial" w:cs="Arial"/>
          <w:bCs/>
          <w:lang w:val="en-GB"/>
        </w:rPr>
        <w:t xml:space="preserve"> of the legal act</w:t>
      </w:r>
      <w:r w:rsidR="00E813CB" w:rsidRPr="000D2CCA">
        <w:rPr>
          <w:rFonts w:ascii="Arial" w:hAnsi="Arial" w:cs="Arial"/>
          <w:bCs/>
          <w:lang w:val="en-GB"/>
        </w:rPr>
        <w:t>s</w:t>
      </w:r>
      <w:r w:rsidRPr="000D2CCA">
        <w:rPr>
          <w:rFonts w:ascii="Arial" w:hAnsi="Arial" w:cs="Arial"/>
          <w:bCs/>
          <w:lang w:val="en-GB"/>
        </w:rPr>
        <w:t xml:space="preserve"> if </w:t>
      </w:r>
      <w:r w:rsidR="00E813CB" w:rsidRPr="000D2CCA">
        <w:rPr>
          <w:rFonts w:ascii="Arial" w:hAnsi="Arial" w:cs="Arial"/>
          <w:bCs/>
          <w:lang w:val="en-GB"/>
        </w:rPr>
        <w:t xml:space="preserve">they are </w:t>
      </w:r>
      <w:r w:rsidRPr="00A87743">
        <w:rPr>
          <w:rFonts w:ascii="Arial" w:eastAsiaTheme="majorEastAsia" w:hAnsi="Arial" w:cs="Arial"/>
          <w:bCs/>
          <w:iCs/>
          <w:color w:val="0000DC"/>
          <w:lang w:val="en-GB"/>
        </w:rPr>
        <w:t>in the list of abbreviations</w:t>
      </w:r>
      <w:r w:rsidRPr="000D2CCA">
        <w:rPr>
          <w:rFonts w:ascii="Arial" w:hAnsi="Arial" w:cs="Arial"/>
          <w:bCs/>
          <w:lang w:val="en-GB"/>
        </w:rPr>
        <w:t>. Otherwise</w:t>
      </w:r>
      <w:r w:rsidR="00DF6096" w:rsidRPr="000D2CCA">
        <w:rPr>
          <w:rFonts w:ascii="Arial" w:hAnsi="Arial" w:cs="Arial"/>
          <w:bCs/>
          <w:lang w:val="en-GB"/>
        </w:rPr>
        <w:t>,</w:t>
      </w:r>
      <w:r w:rsidRPr="000D2CCA">
        <w:rPr>
          <w:rFonts w:ascii="Arial" w:hAnsi="Arial" w:cs="Arial"/>
          <w:bCs/>
          <w:lang w:val="en-GB"/>
        </w:rPr>
        <w:t xml:space="preserve"> it is necessary to use the full title</w:t>
      </w:r>
      <w:r w:rsidR="000B168F" w:rsidRPr="000D2CCA">
        <w:rPr>
          <w:rFonts w:ascii="Arial" w:hAnsi="Arial" w:cs="Arial"/>
          <w:bCs/>
          <w:lang w:val="en-GB"/>
        </w:rPr>
        <w:t xml:space="preserve"> if you mention the legal act for the first time</w:t>
      </w:r>
      <w:r w:rsidR="00822DE9" w:rsidRPr="000D2CCA">
        <w:rPr>
          <w:rFonts w:ascii="Arial" w:hAnsi="Arial" w:cs="Arial"/>
          <w:bCs/>
          <w:lang w:val="en-GB"/>
        </w:rPr>
        <w:t>. Then</w:t>
      </w:r>
      <w:r w:rsidR="005A2DD3">
        <w:rPr>
          <w:rFonts w:ascii="Arial" w:hAnsi="Arial" w:cs="Arial"/>
          <w:bCs/>
          <w:lang w:val="en-GB"/>
        </w:rPr>
        <w:t>,</w:t>
      </w:r>
      <w:r w:rsidR="00822DE9" w:rsidRPr="000D2CCA">
        <w:rPr>
          <w:rFonts w:ascii="Arial" w:hAnsi="Arial" w:cs="Arial"/>
          <w:bCs/>
          <w:lang w:val="en-GB"/>
        </w:rPr>
        <w:t xml:space="preserve"> it is possible to introduce </w:t>
      </w:r>
      <w:r w:rsidR="003619F0" w:rsidRPr="000D2CCA">
        <w:rPr>
          <w:rFonts w:ascii="Arial" w:hAnsi="Arial" w:cs="Arial"/>
          <w:bCs/>
          <w:lang w:val="en-GB"/>
        </w:rPr>
        <w:t xml:space="preserve">some kind of abbreviation. </w:t>
      </w:r>
      <w:r w:rsidR="0082429C" w:rsidRPr="000D2CCA">
        <w:rPr>
          <w:rFonts w:ascii="Arial" w:hAnsi="Arial" w:cs="Arial"/>
          <w:bCs/>
          <w:lang w:val="en-GB"/>
        </w:rPr>
        <w:t xml:space="preserve">If you cite a national legal act or code, </w:t>
      </w:r>
      <w:r w:rsidR="00C121A5" w:rsidRPr="000D2CCA">
        <w:rPr>
          <w:rFonts w:ascii="Arial" w:hAnsi="Arial" w:cs="Arial"/>
          <w:bCs/>
          <w:lang w:val="en-GB"/>
        </w:rPr>
        <w:t xml:space="preserve">state the country first and then use the </w:t>
      </w:r>
      <w:r w:rsidR="002E456F" w:rsidRPr="000D2CCA">
        <w:rPr>
          <w:rFonts w:ascii="Arial" w:hAnsi="Arial" w:cs="Arial"/>
          <w:bCs/>
          <w:lang w:val="en-GB"/>
        </w:rPr>
        <w:t xml:space="preserve">usual reference to the legal act under the national standard. </w:t>
      </w:r>
    </w:p>
    <w:p w14:paraId="20BB40D0" w14:textId="77777777" w:rsidR="004A5DD0" w:rsidRPr="000D2CCA" w:rsidRDefault="004A5DD0" w:rsidP="003D2E71">
      <w:pPr>
        <w:pStyle w:val="Normlnweb"/>
        <w:numPr>
          <w:ilvl w:val="0"/>
          <w:numId w:val="11"/>
        </w:numPr>
        <w:spacing w:before="0" w:beforeAutospacing="0" w:after="120" w:afterAutospacing="0"/>
        <w:ind w:hanging="357"/>
        <w:jc w:val="both"/>
        <w:rPr>
          <w:rFonts w:ascii="Arial" w:hAnsi="Arial" w:cs="Arial"/>
          <w:sz w:val="22"/>
          <w:szCs w:val="22"/>
          <w:lang w:val="en-GB"/>
        </w:rPr>
      </w:pPr>
      <w:r w:rsidRPr="000D2CCA">
        <w:rPr>
          <w:rFonts w:ascii="Arial" w:hAnsi="Arial" w:cs="Arial"/>
          <w:sz w:val="22"/>
          <w:szCs w:val="22"/>
          <w:lang w:val="en-GB"/>
        </w:rPr>
        <w:t xml:space="preserve">Art. 2 para. 2 and 3 New York Convention. </w:t>
      </w:r>
    </w:p>
    <w:p w14:paraId="4AB23332" w14:textId="420E3AB8" w:rsidR="004A5DD0" w:rsidRPr="000D2CCA" w:rsidRDefault="004A5DD0" w:rsidP="003D2E71">
      <w:pPr>
        <w:pStyle w:val="Normlnweb"/>
        <w:numPr>
          <w:ilvl w:val="0"/>
          <w:numId w:val="11"/>
        </w:numPr>
        <w:spacing w:before="0" w:beforeAutospacing="0" w:after="120" w:afterAutospacing="0"/>
        <w:ind w:hanging="357"/>
        <w:jc w:val="both"/>
        <w:rPr>
          <w:rFonts w:ascii="Arial" w:hAnsi="Arial" w:cs="Arial"/>
          <w:sz w:val="22"/>
          <w:szCs w:val="22"/>
          <w:lang w:val="en-GB"/>
        </w:rPr>
      </w:pPr>
      <w:r w:rsidRPr="000D2CCA">
        <w:rPr>
          <w:rFonts w:ascii="Arial" w:hAnsi="Arial" w:cs="Arial"/>
          <w:sz w:val="22"/>
          <w:szCs w:val="22"/>
          <w:lang w:val="en-GB"/>
        </w:rPr>
        <w:t>Art. VII UNCITRAL Model Law.</w:t>
      </w:r>
    </w:p>
    <w:p w14:paraId="1E01040F" w14:textId="01C06786" w:rsidR="004A5DD0" w:rsidRPr="000D2CCA" w:rsidRDefault="004A5DD0" w:rsidP="003D2E71">
      <w:pPr>
        <w:pStyle w:val="Normlnweb"/>
        <w:numPr>
          <w:ilvl w:val="0"/>
          <w:numId w:val="1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Council Directive 93/13/EEC of 5 April 1993 on unfair terms in consumer contracts</w:t>
      </w:r>
      <w:r w:rsidR="00477CE1" w:rsidRPr="000D2CCA">
        <w:rPr>
          <w:rFonts w:ascii="Arial" w:hAnsi="Arial" w:cs="Arial"/>
          <w:sz w:val="22"/>
          <w:szCs w:val="22"/>
          <w:lang w:val="en-GB"/>
        </w:rPr>
        <w:t>.</w:t>
      </w:r>
    </w:p>
    <w:p w14:paraId="36EF8654" w14:textId="78C782CA" w:rsidR="004A5DD0" w:rsidRPr="000D2CCA" w:rsidRDefault="004A5DD0" w:rsidP="003D2E71">
      <w:pPr>
        <w:pStyle w:val="Normlnweb"/>
        <w:numPr>
          <w:ilvl w:val="0"/>
          <w:numId w:val="11"/>
        </w:numPr>
        <w:spacing w:before="0" w:beforeAutospacing="0" w:after="120" w:afterAutospacing="0"/>
        <w:ind w:hanging="357"/>
        <w:jc w:val="both"/>
        <w:rPr>
          <w:rFonts w:ascii="Arial" w:hAnsi="Arial" w:cs="Arial"/>
          <w:sz w:val="22"/>
          <w:szCs w:val="22"/>
          <w:lang w:val="en-GB"/>
        </w:rPr>
      </w:pPr>
      <w:r w:rsidRPr="000D2CCA">
        <w:rPr>
          <w:rFonts w:ascii="Arial" w:hAnsi="Arial" w:cs="Arial"/>
          <w:sz w:val="22"/>
          <w:szCs w:val="22"/>
          <w:lang w:val="en-GB"/>
        </w:rPr>
        <w:t>Regulation (EU) No 1215/2012 of the European Parliament and of the Council od 12 December 2012 on jurisdiction and the recognition and enforcement of judgments in civil and commercial matters</w:t>
      </w:r>
      <w:r w:rsidR="00477CE1" w:rsidRPr="000D2CCA">
        <w:rPr>
          <w:rFonts w:ascii="Arial" w:hAnsi="Arial" w:cs="Arial"/>
          <w:sz w:val="22"/>
          <w:szCs w:val="22"/>
          <w:lang w:val="en-GB"/>
        </w:rPr>
        <w:t>.</w:t>
      </w:r>
    </w:p>
    <w:p w14:paraId="5DBFABC9" w14:textId="01CFC53A" w:rsidR="00B25D81" w:rsidRPr="000D2CCA" w:rsidRDefault="008624F6" w:rsidP="003D2E71">
      <w:pPr>
        <w:pStyle w:val="Normlnweb"/>
        <w:numPr>
          <w:ilvl w:val="0"/>
          <w:numId w:val="11"/>
        </w:numPr>
        <w:spacing w:before="0" w:beforeAutospacing="0" w:after="120" w:afterAutospacing="0"/>
        <w:ind w:hanging="357"/>
        <w:jc w:val="both"/>
        <w:rPr>
          <w:rFonts w:ascii="Arial" w:hAnsi="Arial" w:cs="Arial"/>
          <w:sz w:val="22"/>
          <w:szCs w:val="22"/>
          <w:lang w:val="en-GB"/>
        </w:rPr>
      </w:pPr>
      <w:r w:rsidRPr="000D2CCA">
        <w:rPr>
          <w:rFonts w:ascii="Arial" w:hAnsi="Arial" w:cs="Arial"/>
          <w:sz w:val="22"/>
          <w:szCs w:val="22"/>
          <w:lang w:val="en-GB"/>
        </w:rPr>
        <w:t>Convention on jurisdiction and the recognition and enforcement of judgments in civil and commercial matters</w:t>
      </w:r>
      <w:r w:rsidR="00477CE1" w:rsidRPr="000D2CCA">
        <w:rPr>
          <w:rFonts w:ascii="Arial" w:hAnsi="Arial" w:cs="Arial"/>
          <w:sz w:val="22"/>
          <w:szCs w:val="22"/>
          <w:lang w:val="en-GB"/>
        </w:rPr>
        <w:t xml:space="preserve"> (2007). </w:t>
      </w:r>
    </w:p>
    <w:p w14:paraId="7131314A" w14:textId="180E4C5A" w:rsidR="00C97F05" w:rsidRPr="000D2CCA" w:rsidRDefault="007002C2" w:rsidP="003D2E71">
      <w:pPr>
        <w:pStyle w:val="Normlnweb"/>
        <w:numPr>
          <w:ilvl w:val="0"/>
          <w:numId w:val="11"/>
        </w:numPr>
        <w:spacing w:before="0" w:beforeAutospacing="0" w:after="120" w:afterAutospacing="0"/>
        <w:ind w:hanging="357"/>
        <w:jc w:val="both"/>
        <w:rPr>
          <w:rFonts w:ascii="Arial" w:hAnsi="Arial" w:cs="Arial"/>
          <w:sz w:val="22"/>
          <w:szCs w:val="22"/>
          <w:lang w:val="en-GB"/>
        </w:rPr>
      </w:pPr>
      <w:r w:rsidRPr="000D2CCA">
        <w:rPr>
          <w:rFonts w:ascii="Arial" w:hAnsi="Arial" w:cs="Arial"/>
          <w:sz w:val="22"/>
          <w:szCs w:val="22"/>
          <w:lang w:val="en-GB"/>
        </w:rPr>
        <w:t xml:space="preserve">Czech Republic. </w:t>
      </w:r>
      <w:r w:rsidR="00C97F05" w:rsidRPr="000D2CCA">
        <w:rPr>
          <w:rFonts w:ascii="Arial" w:hAnsi="Arial" w:cs="Arial"/>
          <w:sz w:val="22"/>
          <w:szCs w:val="22"/>
          <w:lang w:val="en-GB"/>
        </w:rPr>
        <w:t>Act No</w:t>
      </w:r>
      <w:r w:rsidR="0016772E">
        <w:rPr>
          <w:rFonts w:ascii="Arial" w:hAnsi="Arial" w:cs="Arial"/>
          <w:sz w:val="22"/>
          <w:szCs w:val="22"/>
          <w:lang w:val="en-GB"/>
        </w:rPr>
        <w:t>.</w:t>
      </w:r>
      <w:r w:rsidR="00C97F05" w:rsidRPr="000D2CCA">
        <w:rPr>
          <w:rFonts w:ascii="Arial" w:hAnsi="Arial" w:cs="Arial"/>
          <w:sz w:val="22"/>
          <w:szCs w:val="22"/>
          <w:lang w:val="en-GB"/>
        </w:rPr>
        <w:t xml:space="preserve"> 89/2012, Civil Code</w:t>
      </w:r>
      <w:r w:rsidR="008C22BC" w:rsidRPr="000D2CCA">
        <w:rPr>
          <w:rFonts w:ascii="Arial" w:hAnsi="Arial" w:cs="Arial"/>
          <w:sz w:val="22"/>
          <w:szCs w:val="22"/>
          <w:lang w:val="en-GB"/>
        </w:rPr>
        <w:t>.</w:t>
      </w:r>
    </w:p>
    <w:p w14:paraId="39EF3E45" w14:textId="137EFA20" w:rsidR="008C22BC" w:rsidRPr="000D2CCA" w:rsidRDefault="008C22BC" w:rsidP="003D2E71">
      <w:pPr>
        <w:pStyle w:val="Normlnweb"/>
        <w:spacing w:before="0" w:beforeAutospacing="0" w:after="120" w:afterAutospacing="0"/>
        <w:ind w:left="1494"/>
        <w:jc w:val="both"/>
        <w:rPr>
          <w:lang w:val="en-GB"/>
        </w:rPr>
      </w:pPr>
    </w:p>
    <w:p w14:paraId="31D42FC7" w14:textId="77777777" w:rsidR="00C97F05" w:rsidRPr="000D2CCA" w:rsidRDefault="00C97F05" w:rsidP="003D2E71">
      <w:pPr>
        <w:pStyle w:val="Nadpis3"/>
        <w:spacing w:line="240" w:lineRule="auto"/>
        <w:rPr>
          <w:lang w:val="en-GB"/>
        </w:rPr>
      </w:pPr>
    </w:p>
    <w:p w14:paraId="3439A1E9" w14:textId="4250005A" w:rsidR="00C97F05" w:rsidRPr="000D2CCA" w:rsidRDefault="00C97F05" w:rsidP="003D2E71">
      <w:pPr>
        <w:pStyle w:val="Nadpis3"/>
        <w:spacing w:line="240" w:lineRule="auto"/>
        <w:rPr>
          <w:lang w:val="en-GB"/>
        </w:rPr>
      </w:pPr>
      <w:r w:rsidRPr="000D2CCA">
        <w:rPr>
          <w:lang w:val="en-GB"/>
        </w:rPr>
        <w:t>Court Decisions</w:t>
      </w:r>
      <w:r w:rsidR="0076761D" w:rsidRPr="000D2CCA">
        <w:rPr>
          <w:lang w:val="en-GB"/>
        </w:rPr>
        <w:t>, Awards</w:t>
      </w:r>
    </w:p>
    <w:p w14:paraId="22053F76" w14:textId="3C9AA4A9" w:rsidR="00C97F05" w:rsidRPr="000D2CCA" w:rsidRDefault="00C97F05" w:rsidP="00477CE1">
      <w:pPr>
        <w:pStyle w:val="Normlnweb"/>
        <w:numPr>
          <w:ilvl w:val="0"/>
          <w:numId w:val="2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Only in footnotes, </w:t>
      </w:r>
      <w:r w:rsidRPr="00A87743">
        <w:rPr>
          <w:rFonts w:ascii="Arial" w:eastAsiaTheme="majorEastAsia" w:hAnsi="Arial" w:cs="Arial"/>
          <w:bCs/>
          <w:iCs/>
          <w:color w:val="0000DC"/>
          <w:sz w:val="22"/>
          <w:szCs w:val="22"/>
          <w:lang w:val="en-GB"/>
        </w:rPr>
        <w:t>not in List of References</w:t>
      </w:r>
      <w:r w:rsidRPr="00A87743">
        <w:rPr>
          <w:rFonts w:ascii="Arial" w:eastAsiaTheme="majorEastAsia" w:hAnsi="Arial" w:cs="Arial"/>
          <w:bCs/>
          <w:iCs/>
          <w:sz w:val="22"/>
          <w:szCs w:val="22"/>
          <w:lang w:val="en-GB"/>
        </w:rPr>
        <w:t>.</w:t>
      </w:r>
    </w:p>
    <w:p w14:paraId="3E606736" w14:textId="77777777" w:rsidR="00C97F05" w:rsidRPr="000D2CCA" w:rsidRDefault="00C97F05" w:rsidP="003D2E71">
      <w:pPr>
        <w:pStyle w:val="Nadpis4"/>
        <w:numPr>
          <w:ilvl w:val="0"/>
          <w:numId w:val="20"/>
        </w:numPr>
        <w:spacing w:line="240" w:lineRule="auto"/>
        <w:rPr>
          <w:rFonts w:ascii="Arial" w:hAnsi="Arial" w:cs="Arial"/>
          <w:lang w:val="en-GB"/>
        </w:rPr>
      </w:pPr>
      <w:r w:rsidRPr="000D2CCA">
        <w:rPr>
          <w:rFonts w:ascii="Arial" w:hAnsi="Arial" w:cs="Arial"/>
          <w:lang w:val="en-GB"/>
        </w:rPr>
        <w:t>Footnotes:</w:t>
      </w:r>
    </w:p>
    <w:p w14:paraId="13645830" w14:textId="4AF7D460" w:rsidR="00C97F05" w:rsidRPr="000D2CCA" w:rsidRDefault="00C97F05" w:rsidP="003D2E71">
      <w:pPr>
        <w:pStyle w:val="Normlnweb"/>
        <w:numPr>
          <w:ilvl w:val="0"/>
          <w:numId w:val="12"/>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Type of decision, Title of the court, Date of publication, </w:t>
      </w:r>
      <w:r w:rsidR="002E456F" w:rsidRPr="000D2CCA">
        <w:rPr>
          <w:rFonts w:ascii="Arial" w:hAnsi="Arial" w:cs="Arial"/>
          <w:i/>
          <w:iCs/>
          <w:sz w:val="22"/>
          <w:szCs w:val="22"/>
          <w:lang w:val="en-GB"/>
        </w:rPr>
        <w:t>Name of parties</w:t>
      </w:r>
      <w:r w:rsidRPr="000D2CCA">
        <w:rPr>
          <w:rFonts w:ascii="Arial" w:hAnsi="Arial" w:cs="Arial"/>
          <w:i/>
          <w:iCs/>
          <w:sz w:val="22"/>
          <w:szCs w:val="22"/>
          <w:lang w:val="en-GB"/>
        </w:rPr>
        <w:t xml:space="preserve"> (facultative),</w:t>
      </w:r>
      <w:r w:rsidRPr="000D2CCA">
        <w:rPr>
          <w:rFonts w:ascii="Arial" w:hAnsi="Arial" w:cs="Arial"/>
          <w:sz w:val="22"/>
          <w:szCs w:val="22"/>
          <w:lang w:val="en-GB"/>
        </w:rPr>
        <w:t xml:space="preserve"> Case </w:t>
      </w:r>
      <w:r w:rsidR="00F723B1">
        <w:rPr>
          <w:rFonts w:ascii="Arial" w:hAnsi="Arial" w:cs="Arial"/>
          <w:sz w:val="22"/>
          <w:szCs w:val="22"/>
          <w:lang w:val="en-GB"/>
        </w:rPr>
        <w:t>N</w:t>
      </w:r>
      <w:r w:rsidRPr="000D2CCA">
        <w:rPr>
          <w:rFonts w:ascii="Arial" w:hAnsi="Arial" w:cs="Arial"/>
          <w:sz w:val="22"/>
          <w:szCs w:val="22"/>
          <w:lang w:val="en-GB"/>
        </w:rPr>
        <w:t>o., para. (</w:t>
      </w:r>
      <w:proofErr w:type="gramStart"/>
      <w:r w:rsidRPr="000D2CCA">
        <w:rPr>
          <w:rFonts w:ascii="Arial" w:hAnsi="Arial" w:cs="Arial"/>
          <w:sz w:val="22"/>
          <w:szCs w:val="22"/>
          <w:lang w:val="en-GB"/>
        </w:rPr>
        <w:t>if</w:t>
      </w:r>
      <w:proofErr w:type="gramEnd"/>
      <w:r w:rsidRPr="000D2CCA">
        <w:rPr>
          <w:rFonts w:ascii="Arial" w:hAnsi="Arial" w:cs="Arial"/>
          <w:sz w:val="22"/>
          <w:szCs w:val="22"/>
          <w:lang w:val="en-GB"/>
        </w:rPr>
        <w:t xml:space="preserve"> needed).</w:t>
      </w:r>
    </w:p>
    <w:p w14:paraId="609ED66A" w14:textId="38758D44" w:rsidR="00202913" w:rsidRPr="000D2CCA" w:rsidRDefault="001B3768" w:rsidP="00300FEC">
      <w:pPr>
        <w:pStyle w:val="Odstavecseseznamem"/>
        <w:numPr>
          <w:ilvl w:val="0"/>
          <w:numId w:val="22"/>
        </w:numPr>
        <w:jc w:val="both"/>
        <w:rPr>
          <w:rFonts w:ascii="Arial" w:hAnsi="Arial" w:cs="Arial"/>
          <w:color w:val="000000"/>
          <w:lang w:val="en-GB"/>
        </w:rPr>
      </w:pPr>
      <w:r w:rsidRPr="000D2CCA">
        <w:rPr>
          <w:rFonts w:ascii="Arial" w:hAnsi="Arial" w:cs="Arial"/>
          <w:lang w:val="en-GB"/>
        </w:rPr>
        <w:t xml:space="preserve">Titles of </w:t>
      </w:r>
      <w:r w:rsidRPr="0016772E">
        <w:rPr>
          <w:rFonts w:ascii="Arial" w:eastAsiaTheme="majorEastAsia" w:hAnsi="Arial" w:cs="Arial"/>
          <w:bCs/>
          <w:iCs/>
          <w:color w:val="0000DC"/>
          <w:lang w:val="en-GB"/>
        </w:rPr>
        <w:t>national courts</w:t>
      </w:r>
      <w:r w:rsidRPr="000D2CCA">
        <w:rPr>
          <w:rFonts w:ascii="Arial" w:hAnsi="Arial" w:cs="Arial"/>
          <w:lang w:val="en-GB"/>
        </w:rPr>
        <w:t xml:space="preserve"> have to be stated in English as well as in the original language. </w:t>
      </w:r>
      <w:r w:rsidR="00202913" w:rsidRPr="000D2CCA">
        <w:rPr>
          <w:rFonts w:ascii="Arial" w:hAnsi="Arial" w:cs="Arial"/>
          <w:lang w:val="en-GB"/>
        </w:rPr>
        <w:t xml:space="preserve">It is also necessary to </w:t>
      </w:r>
      <w:r w:rsidR="00D55A70" w:rsidRPr="000D2CCA">
        <w:rPr>
          <w:rFonts w:ascii="Arial" w:hAnsi="Arial" w:cs="Arial"/>
          <w:lang w:val="en-GB"/>
        </w:rPr>
        <w:t>state the source of the decision</w:t>
      </w:r>
      <w:r w:rsidR="00300FEC" w:rsidRPr="000D2CCA">
        <w:rPr>
          <w:rFonts w:ascii="Arial" w:hAnsi="Arial" w:cs="Arial"/>
          <w:lang w:val="en-GB"/>
        </w:rPr>
        <w:t xml:space="preserve"> (Type of d</w:t>
      </w:r>
      <w:r w:rsidR="00202913" w:rsidRPr="000D2CCA">
        <w:rPr>
          <w:rFonts w:ascii="Arial" w:hAnsi="Arial" w:cs="Arial"/>
          <w:color w:val="000000"/>
          <w:lang w:val="en-GB"/>
        </w:rPr>
        <w:t>ecision</w:t>
      </w:r>
      <w:r w:rsidR="00300FEC" w:rsidRPr="000D2CCA">
        <w:rPr>
          <w:rFonts w:ascii="Arial" w:hAnsi="Arial" w:cs="Arial"/>
          <w:color w:val="000000"/>
          <w:lang w:val="en-GB"/>
        </w:rPr>
        <w:t>, Title of the court</w:t>
      </w:r>
      <w:r w:rsidR="00F01E2D" w:rsidRPr="000D2CCA">
        <w:rPr>
          <w:rFonts w:ascii="Arial" w:hAnsi="Arial" w:cs="Arial"/>
          <w:color w:val="000000"/>
          <w:lang w:val="en-GB"/>
        </w:rPr>
        <w:t xml:space="preserve"> in English (Title of the court in the original language)</w:t>
      </w:r>
      <w:r w:rsidR="006E6E8A" w:rsidRPr="000D2CCA">
        <w:rPr>
          <w:rFonts w:ascii="Arial" w:hAnsi="Arial" w:cs="Arial"/>
          <w:color w:val="000000"/>
          <w:lang w:val="en-GB"/>
        </w:rPr>
        <w:t xml:space="preserve">, </w:t>
      </w:r>
      <w:r w:rsidR="00202913" w:rsidRPr="000D2CCA">
        <w:rPr>
          <w:rFonts w:ascii="Arial" w:hAnsi="Arial" w:cs="Arial"/>
          <w:color w:val="000000"/>
          <w:lang w:val="en-GB"/>
        </w:rPr>
        <w:t>country</w:t>
      </w:r>
      <w:r w:rsidR="006E6E8A" w:rsidRPr="000D2CCA">
        <w:rPr>
          <w:rFonts w:ascii="Arial" w:hAnsi="Arial" w:cs="Arial"/>
          <w:color w:val="000000"/>
          <w:lang w:val="en-GB"/>
        </w:rPr>
        <w:t>, Date of publication</w:t>
      </w:r>
      <w:r w:rsidR="00202913" w:rsidRPr="000D2CCA">
        <w:rPr>
          <w:rFonts w:ascii="Arial" w:hAnsi="Arial" w:cs="Arial"/>
          <w:color w:val="000000"/>
          <w:lang w:val="en-GB"/>
        </w:rPr>
        <w:t xml:space="preserve">, </w:t>
      </w:r>
      <w:r w:rsidR="006E6E8A" w:rsidRPr="000D2CCA">
        <w:rPr>
          <w:rFonts w:ascii="Arial" w:hAnsi="Arial" w:cs="Arial"/>
          <w:i/>
          <w:iCs/>
          <w:lang w:val="en-GB"/>
        </w:rPr>
        <w:t>Name of parties (facultative),</w:t>
      </w:r>
      <w:r w:rsidR="006E6E8A" w:rsidRPr="000D2CCA">
        <w:rPr>
          <w:rFonts w:ascii="Arial" w:hAnsi="Arial" w:cs="Arial"/>
          <w:lang w:val="en-GB"/>
        </w:rPr>
        <w:t xml:space="preserve"> Case </w:t>
      </w:r>
      <w:r w:rsidR="0016772E">
        <w:rPr>
          <w:rFonts w:ascii="Arial" w:hAnsi="Arial" w:cs="Arial"/>
          <w:lang w:val="en-GB"/>
        </w:rPr>
        <w:t>N</w:t>
      </w:r>
      <w:r w:rsidR="006E6E8A" w:rsidRPr="000D2CCA">
        <w:rPr>
          <w:rFonts w:ascii="Arial" w:hAnsi="Arial" w:cs="Arial"/>
          <w:lang w:val="en-GB"/>
        </w:rPr>
        <w:t>o.</w:t>
      </w:r>
      <w:r w:rsidR="005A2DD3">
        <w:rPr>
          <w:rFonts w:ascii="Arial" w:hAnsi="Arial" w:cs="Arial"/>
          <w:lang w:val="en-GB"/>
        </w:rPr>
        <w:t xml:space="preserve"> In:</w:t>
      </w:r>
      <w:r w:rsidR="00202913" w:rsidRPr="000D2CCA">
        <w:rPr>
          <w:rFonts w:ascii="Arial" w:hAnsi="Arial" w:cs="Arial"/>
          <w:color w:val="000000"/>
          <w:lang w:val="en-GB"/>
        </w:rPr>
        <w:t xml:space="preserve"> </w:t>
      </w:r>
      <w:r w:rsidR="005A2DD3" w:rsidRPr="000D2CCA">
        <w:rPr>
          <w:rFonts w:ascii="Arial" w:hAnsi="Arial" w:cs="Arial"/>
          <w:i/>
          <w:color w:val="000000"/>
          <w:lang w:val="en-GB"/>
        </w:rPr>
        <w:t>Name of the database</w:t>
      </w:r>
      <w:r w:rsidR="005A2DD3" w:rsidRPr="000D2CCA">
        <w:rPr>
          <w:rFonts w:ascii="Arial" w:hAnsi="Arial" w:cs="Arial"/>
          <w:color w:val="000000"/>
          <w:lang w:val="en-GB"/>
        </w:rPr>
        <w:t xml:space="preserve">. </w:t>
      </w:r>
      <w:r w:rsidR="005A2DD3" w:rsidRPr="005A2DD3">
        <w:rPr>
          <w:rFonts w:ascii="Arial" w:hAnsi="Arial" w:cs="Arial"/>
          <w:i/>
          <w:iCs/>
          <w:color w:val="000000"/>
          <w:lang w:val="en-GB"/>
        </w:rPr>
        <w:t>Provider of the database</w:t>
      </w:r>
      <w:r w:rsidR="005A2DD3" w:rsidRPr="000D2CCA">
        <w:rPr>
          <w:rFonts w:ascii="Arial" w:hAnsi="Arial" w:cs="Arial"/>
          <w:color w:val="000000"/>
          <w:lang w:val="en-GB"/>
        </w:rPr>
        <w:t xml:space="preserve"> </w:t>
      </w:r>
      <w:r w:rsidR="00202913" w:rsidRPr="000D2CCA">
        <w:rPr>
          <w:rFonts w:ascii="Arial" w:hAnsi="Arial" w:cs="Arial"/>
          <w:color w:val="000000"/>
          <w:lang w:val="en-GB"/>
        </w:rPr>
        <w:t>[online]. [</w:t>
      </w:r>
      <w:r w:rsidR="008808FA" w:rsidRPr="000D2CCA">
        <w:rPr>
          <w:rFonts w:ascii="Arial" w:hAnsi="Arial" w:cs="Arial"/>
          <w:lang w:val="en-GB"/>
        </w:rPr>
        <w:t>Date of accessing</w:t>
      </w:r>
      <w:r w:rsidR="00202913" w:rsidRPr="000D2CCA">
        <w:rPr>
          <w:rFonts w:ascii="Arial" w:hAnsi="Arial" w:cs="Arial"/>
          <w:color w:val="000000"/>
          <w:lang w:val="en-GB"/>
        </w:rPr>
        <w:t xml:space="preserve">]. </w:t>
      </w:r>
      <w:r w:rsidR="00125258">
        <w:rPr>
          <w:rFonts w:ascii="Arial" w:hAnsi="Arial" w:cs="Arial"/>
          <w:color w:val="000000"/>
          <w:lang w:val="en-GB"/>
        </w:rPr>
        <w:t>Available at: h</w:t>
      </w:r>
      <w:r w:rsidR="008808FA" w:rsidRPr="000D2CCA">
        <w:rPr>
          <w:rFonts w:ascii="Arial" w:hAnsi="Arial" w:cs="Arial"/>
          <w:color w:val="000000"/>
          <w:lang w:val="en-GB"/>
        </w:rPr>
        <w:t>yperlink</w:t>
      </w:r>
    </w:p>
    <w:p w14:paraId="1B24C4C9" w14:textId="07C1AF43" w:rsidR="00C97F05" w:rsidRPr="000D2CCA" w:rsidRDefault="00C97F05" w:rsidP="003D2E71">
      <w:pPr>
        <w:pStyle w:val="Normlnweb"/>
        <w:numPr>
          <w:ilvl w:val="0"/>
          <w:numId w:val="12"/>
        </w:numPr>
        <w:spacing w:before="0" w:beforeAutospacing="0" w:after="120" w:afterAutospacing="0"/>
        <w:jc w:val="both"/>
        <w:rPr>
          <w:rFonts w:ascii="Arial" w:hAnsi="Arial" w:cs="Arial"/>
          <w:sz w:val="22"/>
          <w:szCs w:val="22"/>
          <w:lang w:val="en-GB"/>
        </w:rPr>
      </w:pPr>
      <w:r w:rsidRPr="000D2CCA">
        <w:rPr>
          <w:rFonts w:ascii="Arial" w:hAnsi="Arial" w:cs="Arial"/>
          <w:bCs/>
          <w:sz w:val="22"/>
          <w:szCs w:val="22"/>
          <w:lang w:val="en-GB"/>
        </w:rPr>
        <w:t xml:space="preserve">Please </w:t>
      </w:r>
      <w:r w:rsidRPr="0016772E">
        <w:rPr>
          <w:rFonts w:ascii="Arial" w:eastAsiaTheme="majorEastAsia" w:hAnsi="Arial" w:cs="Arial"/>
          <w:bCs/>
          <w:iCs/>
          <w:color w:val="0000DC"/>
          <w:sz w:val="22"/>
          <w:szCs w:val="22"/>
          <w:lang w:val="en-GB"/>
        </w:rPr>
        <w:t xml:space="preserve">use established abbreviation </w:t>
      </w:r>
      <w:r w:rsidR="008C22BC" w:rsidRPr="0016772E">
        <w:rPr>
          <w:rFonts w:ascii="Arial" w:eastAsiaTheme="majorEastAsia" w:hAnsi="Arial" w:cs="Arial"/>
          <w:bCs/>
          <w:iCs/>
          <w:color w:val="0000DC"/>
          <w:sz w:val="22"/>
          <w:szCs w:val="22"/>
          <w:lang w:val="en-GB"/>
        </w:rPr>
        <w:t>of the court</w:t>
      </w:r>
      <w:r w:rsidR="008C22BC" w:rsidRPr="000D2CCA">
        <w:rPr>
          <w:rFonts w:ascii="Arial" w:hAnsi="Arial" w:cs="Arial"/>
          <w:bCs/>
          <w:sz w:val="22"/>
          <w:szCs w:val="22"/>
          <w:lang w:val="en-GB"/>
        </w:rPr>
        <w:t xml:space="preserve"> </w:t>
      </w:r>
      <w:r w:rsidRPr="000D2CCA">
        <w:rPr>
          <w:rFonts w:ascii="Arial" w:hAnsi="Arial" w:cs="Arial"/>
          <w:bCs/>
          <w:sz w:val="22"/>
          <w:szCs w:val="22"/>
          <w:lang w:val="en-GB"/>
        </w:rPr>
        <w:t>(</w:t>
      </w:r>
      <w:r w:rsidR="008C22BC" w:rsidRPr="000D2CCA">
        <w:rPr>
          <w:rFonts w:ascii="Arial" w:hAnsi="Arial" w:cs="Arial"/>
          <w:bCs/>
          <w:sz w:val="22"/>
          <w:szCs w:val="22"/>
          <w:lang w:val="en-GB"/>
        </w:rPr>
        <w:t>if it is in the</w:t>
      </w:r>
      <w:r w:rsidRPr="000D2CCA">
        <w:rPr>
          <w:rFonts w:ascii="Arial" w:hAnsi="Arial" w:cs="Arial"/>
          <w:bCs/>
          <w:sz w:val="22"/>
          <w:szCs w:val="22"/>
          <w:lang w:val="en-GB"/>
        </w:rPr>
        <w:t xml:space="preserve"> list of abbreviations).</w:t>
      </w:r>
    </w:p>
    <w:p w14:paraId="372D6D58" w14:textId="282801F1" w:rsidR="00592F2F" w:rsidRPr="000D2CCA" w:rsidRDefault="00592F2F" w:rsidP="003D2E71">
      <w:pPr>
        <w:pStyle w:val="Normlnweb"/>
        <w:numPr>
          <w:ilvl w:val="0"/>
          <w:numId w:val="12"/>
        </w:numPr>
        <w:spacing w:before="0" w:beforeAutospacing="0" w:after="120" w:afterAutospacing="0"/>
        <w:jc w:val="both"/>
        <w:rPr>
          <w:rFonts w:asciiTheme="majorHAnsi" w:hAnsiTheme="majorHAnsi" w:cstheme="majorHAnsi"/>
          <w:sz w:val="22"/>
          <w:szCs w:val="22"/>
          <w:lang w:val="en-GB"/>
        </w:rPr>
      </w:pPr>
      <w:r w:rsidRPr="0016772E">
        <w:rPr>
          <w:rFonts w:ascii="Arial" w:eastAsiaTheme="majorEastAsia" w:hAnsi="Arial" w:cs="Arial"/>
          <w:bCs/>
          <w:iCs/>
          <w:color w:val="0000DC"/>
          <w:sz w:val="22"/>
          <w:szCs w:val="22"/>
          <w:lang w:val="en-GB"/>
        </w:rPr>
        <w:t>For awards</w:t>
      </w:r>
      <w:r w:rsidRPr="000D2CCA">
        <w:rPr>
          <w:rFonts w:asciiTheme="majorHAnsi" w:hAnsiTheme="majorHAnsi" w:cstheme="majorHAnsi"/>
          <w:bCs/>
          <w:sz w:val="22"/>
          <w:szCs w:val="22"/>
          <w:lang w:val="en-GB"/>
        </w:rPr>
        <w:t xml:space="preserve">: </w:t>
      </w:r>
      <w:r w:rsidR="00803270" w:rsidRPr="000D2CCA">
        <w:rPr>
          <w:rFonts w:ascii="Arial" w:hAnsi="Arial" w:cs="Arial"/>
          <w:sz w:val="22"/>
          <w:szCs w:val="22"/>
          <w:lang w:val="en-GB"/>
        </w:rPr>
        <w:t xml:space="preserve">It is also necessary to state the source of the </w:t>
      </w:r>
      <w:r w:rsidR="00C4628D" w:rsidRPr="000D2CCA">
        <w:rPr>
          <w:rFonts w:ascii="Arial" w:hAnsi="Arial" w:cs="Arial"/>
          <w:sz w:val="22"/>
          <w:szCs w:val="22"/>
          <w:lang w:val="en-GB"/>
        </w:rPr>
        <w:t xml:space="preserve">award. </w:t>
      </w:r>
      <w:r w:rsidR="00803270" w:rsidRPr="000D2CCA">
        <w:rPr>
          <w:rFonts w:ascii="Arial" w:hAnsi="Arial" w:cs="Arial"/>
          <w:sz w:val="22"/>
          <w:szCs w:val="22"/>
          <w:lang w:val="en-GB"/>
        </w:rPr>
        <w:t xml:space="preserve"> </w:t>
      </w:r>
    </w:p>
    <w:p w14:paraId="033C8F6B" w14:textId="2D301451" w:rsidR="00572A2E" w:rsidRPr="000D2CCA" w:rsidRDefault="00572A2E" w:rsidP="003D2E71">
      <w:pPr>
        <w:pStyle w:val="Normlnweb"/>
        <w:numPr>
          <w:ilvl w:val="0"/>
          <w:numId w:val="12"/>
        </w:numPr>
        <w:spacing w:before="0" w:beforeAutospacing="0" w:after="120" w:afterAutospacing="0"/>
        <w:jc w:val="both"/>
        <w:rPr>
          <w:rFonts w:ascii="Arial" w:hAnsi="Arial" w:cs="Arial"/>
          <w:sz w:val="22"/>
          <w:szCs w:val="22"/>
          <w:lang w:val="en-GB"/>
        </w:rPr>
      </w:pPr>
      <w:r w:rsidRPr="000D2CCA">
        <w:rPr>
          <w:rFonts w:ascii="Arial" w:hAnsi="Arial" w:cs="Arial"/>
          <w:bCs/>
          <w:sz w:val="22"/>
          <w:szCs w:val="22"/>
          <w:lang w:val="en-GB"/>
        </w:rPr>
        <w:t>CJEU</w:t>
      </w:r>
    </w:p>
    <w:p w14:paraId="0E7EBC67" w14:textId="77777777" w:rsidR="00572A2E" w:rsidRPr="000D2CCA" w:rsidRDefault="00572A2E" w:rsidP="00572A2E">
      <w:pPr>
        <w:pStyle w:val="Normlnweb"/>
        <w:numPr>
          <w:ilvl w:val="0"/>
          <w:numId w:val="23"/>
        </w:numPr>
        <w:spacing w:before="0" w:beforeAutospacing="0" w:after="120" w:afterAutospacing="0"/>
        <w:ind w:left="1434" w:hanging="357"/>
        <w:jc w:val="both"/>
        <w:rPr>
          <w:rFonts w:ascii="Arial" w:hAnsi="Arial" w:cs="Arial"/>
          <w:sz w:val="22"/>
          <w:szCs w:val="22"/>
          <w:lang w:val="en-GB"/>
        </w:rPr>
      </w:pPr>
      <w:r w:rsidRPr="000D2CCA">
        <w:rPr>
          <w:rFonts w:ascii="Arial" w:hAnsi="Arial" w:cs="Arial"/>
          <w:sz w:val="22"/>
          <w:szCs w:val="22"/>
          <w:lang w:val="en-GB"/>
        </w:rPr>
        <w:t>Judgment of the CJEU of 6 October 2009, Case C-6/09.</w:t>
      </w:r>
    </w:p>
    <w:p w14:paraId="57294484" w14:textId="46ABCE21" w:rsidR="0016772E" w:rsidRPr="0016772E" w:rsidRDefault="00572A2E" w:rsidP="0016772E">
      <w:pPr>
        <w:pStyle w:val="Normlnweb"/>
        <w:numPr>
          <w:ilvl w:val="0"/>
          <w:numId w:val="23"/>
        </w:numPr>
        <w:spacing w:before="0" w:beforeAutospacing="0" w:after="120" w:afterAutospacing="0"/>
        <w:ind w:left="1434" w:hanging="357"/>
        <w:jc w:val="both"/>
        <w:rPr>
          <w:rFonts w:ascii="Arial" w:hAnsi="Arial" w:cs="Arial"/>
          <w:sz w:val="22"/>
          <w:szCs w:val="22"/>
          <w:lang w:val="en-GB"/>
        </w:rPr>
      </w:pPr>
      <w:r w:rsidRPr="000D2CCA">
        <w:rPr>
          <w:rFonts w:ascii="Arial" w:hAnsi="Arial" w:cs="Arial"/>
          <w:sz w:val="22"/>
          <w:szCs w:val="22"/>
          <w:lang w:val="en-GB"/>
        </w:rPr>
        <w:t xml:space="preserve">Judgment of the CJEU (Grand Chamber) of 6 March 2018, </w:t>
      </w:r>
      <w:proofErr w:type="spellStart"/>
      <w:r w:rsidRPr="000D2CCA">
        <w:rPr>
          <w:rFonts w:ascii="Arial" w:hAnsi="Arial" w:cs="Arial"/>
          <w:i/>
          <w:iCs/>
          <w:sz w:val="22"/>
          <w:szCs w:val="22"/>
          <w:lang w:val="en-GB"/>
        </w:rPr>
        <w:t>Slowakische</w:t>
      </w:r>
      <w:proofErr w:type="spellEnd"/>
      <w:r w:rsidRPr="000D2CCA">
        <w:rPr>
          <w:rFonts w:ascii="Arial" w:hAnsi="Arial" w:cs="Arial"/>
          <w:i/>
          <w:iCs/>
          <w:sz w:val="22"/>
          <w:szCs w:val="22"/>
          <w:lang w:val="en-GB"/>
        </w:rPr>
        <w:t xml:space="preserve"> </w:t>
      </w:r>
      <w:proofErr w:type="spellStart"/>
      <w:r w:rsidRPr="000D2CCA">
        <w:rPr>
          <w:rFonts w:ascii="Arial" w:hAnsi="Arial" w:cs="Arial"/>
          <w:i/>
          <w:iCs/>
          <w:sz w:val="22"/>
          <w:szCs w:val="22"/>
          <w:lang w:val="en-GB"/>
        </w:rPr>
        <w:t>Republik</w:t>
      </w:r>
      <w:proofErr w:type="spellEnd"/>
      <w:r w:rsidRPr="000D2CCA">
        <w:rPr>
          <w:rFonts w:ascii="Arial" w:hAnsi="Arial" w:cs="Arial"/>
          <w:i/>
          <w:iCs/>
          <w:sz w:val="22"/>
          <w:szCs w:val="22"/>
          <w:lang w:val="en-GB"/>
        </w:rPr>
        <w:t xml:space="preserve"> (Slovak Republic) vs. </w:t>
      </w:r>
      <w:proofErr w:type="spellStart"/>
      <w:r w:rsidRPr="000D2CCA">
        <w:rPr>
          <w:rFonts w:ascii="Arial" w:hAnsi="Arial" w:cs="Arial"/>
          <w:i/>
          <w:iCs/>
          <w:sz w:val="22"/>
          <w:szCs w:val="22"/>
          <w:lang w:val="en-GB"/>
        </w:rPr>
        <w:t>Achmea</w:t>
      </w:r>
      <w:proofErr w:type="spellEnd"/>
      <w:r w:rsidRPr="000D2CCA">
        <w:rPr>
          <w:rFonts w:ascii="Arial" w:hAnsi="Arial" w:cs="Arial"/>
          <w:i/>
          <w:iCs/>
          <w:sz w:val="22"/>
          <w:szCs w:val="22"/>
          <w:lang w:val="en-GB"/>
        </w:rPr>
        <w:t xml:space="preserve"> BV</w:t>
      </w:r>
      <w:r w:rsidRPr="000D2CCA">
        <w:rPr>
          <w:rFonts w:ascii="Arial" w:hAnsi="Arial" w:cs="Arial"/>
          <w:sz w:val="22"/>
          <w:szCs w:val="22"/>
          <w:lang w:val="en-GB"/>
        </w:rPr>
        <w:t>, Case C-284/16, para. 56</w:t>
      </w:r>
      <w:r w:rsidR="00E13E79">
        <w:rPr>
          <w:rFonts w:ascii="Arial" w:hAnsi="Arial" w:cs="Arial"/>
          <w:sz w:val="22"/>
          <w:szCs w:val="22"/>
          <w:lang w:val="en-GB"/>
        </w:rPr>
        <w:t>.</w:t>
      </w:r>
    </w:p>
    <w:p w14:paraId="6DE833B1" w14:textId="5EBB8635" w:rsidR="00F31E4F" w:rsidRPr="000D2CCA" w:rsidRDefault="0076761D" w:rsidP="00934583">
      <w:pPr>
        <w:pStyle w:val="Normlnweb"/>
        <w:numPr>
          <w:ilvl w:val="0"/>
          <w:numId w:val="2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ICJ</w:t>
      </w:r>
    </w:p>
    <w:p w14:paraId="2D1F91E8" w14:textId="74C5A65D" w:rsidR="00C97F05" w:rsidRPr="000D2CCA" w:rsidRDefault="00C97F05" w:rsidP="003D2E71">
      <w:pPr>
        <w:pStyle w:val="Normlnweb"/>
        <w:numPr>
          <w:ilvl w:val="0"/>
          <w:numId w:val="14"/>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Judgment of the ICJ of 13 July 2009, </w:t>
      </w:r>
      <w:r w:rsidRPr="000D2CCA">
        <w:rPr>
          <w:rFonts w:ascii="Arial" w:hAnsi="Arial" w:cs="Arial"/>
          <w:i/>
          <w:iCs/>
          <w:sz w:val="22"/>
          <w:szCs w:val="22"/>
          <w:lang w:val="en-GB"/>
        </w:rPr>
        <w:t>Costa Rica vs. Nicaragua (Dispute regarding Navigational and Related Rights)</w:t>
      </w:r>
      <w:r w:rsidRPr="000D2CCA">
        <w:rPr>
          <w:rFonts w:ascii="Arial" w:hAnsi="Arial" w:cs="Arial"/>
          <w:sz w:val="22"/>
          <w:szCs w:val="22"/>
          <w:lang w:val="en-GB"/>
        </w:rPr>
        <w:t>, para. 66–67.</w:t>
      </w:r>
    </w:p>
    <w:p w14:paraId="00C36B01" w14:textId="4955D00B" w:rsidR="00C97F05" w:rsidRPr="000D2CCA" w:rsidRDefault="0076761D" w:rsidP="0076761D">
      <w:pPr>
        <w:pStyle w:val="Normlnweb"/>
        <w:numPr>
          <w:ilvl w:val="0"/>
          <w:numId w:val="2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ECtHR</w:t>
      </w:r>
    </w:p>
    <w:p w14:paraId="5E80F1F8" w14:textId="50B651D1" w:rsidR="00C97F05" w:rsidRPr="000D2CCA" w:rsidRDefault="00C97F05" w:rsidP="003D2E71">
      <w:pPr>
        <w:pStyle w:val="Normlnweb"/>
        <w:numPr>
          <w:ilvl w:val="0"/>
          <w:numId w:val="14"/>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Judgment of the </w:t>
      </w:r>
      <w:r w:rsidR="008C22BC" w:rsidRPr="000D2CCA">
        <w:rPr>
          <w:rFonts w:ascii="Arial" w:hAnsi="Arial" w:cs="Arial"/>
          <w:sz w:val="22"/>
          <w:szCs w:val="22"/>
          <w:lang w:val="en-GB"/>
        </w:rPr>
        <w:t>ECtHR</w:t>
      </w:r>
      <w:r w:rsidRPr="000D2CCA">
        <w:rPr>
          <w:rFonts w:ascii="Arial" w:hAnsi="Arial" w:cs="Arial"/>
          <w:sz w:val="22"/>
          <w:szCs w:val="22"/>
          <w:lang w:val="en-GB"/>
        </w:rPr>
        <w:t xml:space="preserve"> of 28 October 1998, Case </w:t>
      </w:r>
      <w:r w:rsidR="0016772E">
        <w:rPr>
          <w:rFonts w:ascii="Arial" w:hAnsi="Arial" w:cs="Arial"/>
          <w:sz w:val="22"/>
          <w:szCs w:val="22"/>
          <w:lang w:val="en-GB"/>
        </w:rPr>
        <w:t>N</w:t>
      </w:r>
      <w:r w:rsidR="00D66A84" w:rsidRPr="000D2CCA">
        <w:rPr>
          <w:rFonts w:ascii="Arial" w:hAnsi="Arial" w:cs="Arial"/>
          <w:sz w:val="22"/>
          <w:szCs w:val="22"/>
          <w:lang w:val="en-GB"/>
        </w:rPr>
        <w:t xml:space="preserve">o. </w:t>
      </w:r>
      <w:r w:rsidRPr="000D2CCA">
        <w:rPr>
          <w:rFonts w:ascii="Arial" w:hAnsi="Arial" w:cs="Arial"/>
          <w:sz w:val="22"/>
          <w:szCs w:val="22"/>
          <w:lang w:val="en-GB"/>
        </w:rPr>
        <w:t>24760/94.</w:t>
      </w:r>
    </w:p>
    <w:p w14:paraId="62C9E883" w14:textId="334D32EF" w:rsidR="00802B9B" w:rsidRPr="000D2CCA" w:rsidRDefault="008164D9" w:rsidP="00802B9B">
      <w:pPr>
        <w:pStyle w:val="Normlnweb"/>
        <w:numPr>
          <w:ilvl w:val="0"/>
          <w:numId w:val="21"/>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lastRenderedPageBreak/>
        <w:t xml:space="preserve">Awards </w:t>
      </w:r>
    </w:p>
    <w:p w14:paraId="7EAE405D" w14:textId="1347BEAF" w:rsidR="004F3DBB" w:rsidRPr="000D2CCA" w:rsidRDefault="00C97F05" w:rsidP="004F3DBB">
      <w:pPr>
        <w:pStyle w:val="Normlnweb"/>
        <w:numPr>
          <w:ilvl w:val="0"/>
          <w:numId w:val="14"/>
        </w:numPr>
        <w:spacing w:before="0" w:beforeAutospacing="0" w:after="120" w:afterAutospacing="0"/>
        <w:jc w:val="both"/>
        <w:rPr>
          <w:rFonts w:ascii="Arial" w:hAnsi="Arial" w:cs="Arial"/>
          <w:sz w:val="22"/>
          <w:szCs w:val="22"/>
          <w:lang w:val="en-GB"/>
        </w:rPr>
      </w:pPr>
      <w:r w:rsidRPr="000D2CCA">
        <w:rPr>
          <w:rFonts w:ascii="Arial" w:hAnsi="Arial" w:cs="Arial"/>
          <w:sz w:val="22"/>
          <w:szCs w:val="22"/>
          <w:lang w:val="en-GB"/>
        </w:rPr>
        <w:t xml:space="preserve">Award of 24 July 2008, </w:t>
      </w:r>
      <w:r w:rsidR="006D2630" w:rsidRPr="000D2CCA">
        <w:rPr>
          <w:rFonts w:ascii="Arial" w:hAnsi="Arial" w:cs="Arial"/>
          <w:sz w:val="22"/>
          <w:szCs w:val="22"/>
          <w:lang w:val="en-GB"/>
        </w:rPr>
        <w:t xml:space="preserve">ICSID Case </w:t>
      </w:r>
      <w:r w:rsidR="00125258">
        <w:rPr>
          <w:rFonts w:ascii="Arial" w:hAnsi="Arial" w:cs="Arial"/>
          <w:sz w:val="22"/>
          <w:szCs w:val="22"/>
          <w:lang w:val="en-GB"/>
        </w:rPr>
        <w:t>N</w:t>
      </w:r>
      <w:r w:rsidR="006D2630" w:rsidRPr="000D2CCA">
        <w:rPr>
          <w:rFonts w:ascii="Arial" w:hAnsi="Arial" w:cs="Arial"/>
          <w:sz w:val="22"/>
          <w:szCs w:val="22"/>
          <w:lang w:val="en-GB"/>
        </w:rPr>
        <w:t>o. ARB/05/22</w:t>
      </w:r>
      <w:r w:rsidR="00B05580" w:rsidRPr="000D2CCA">
        <w:rPr>
          <w:rFonts w:ascii="Arial" w:hAnsi="Arial" w:cs="Arial"/>
          <w:sz w:val="22"/>
          <w:szCs w:val="22"/>
          <w:lang w:val="en-GB"/>
        </w:rPr>
        <w:t xml:space="preserve">, </w:t>
      </w:r>
      <w:proofErr w:type="spellStart"/>
      <w:r w:rsidRPr="000D2CCA">
        <w:rPr>
          <w:rFonts w:ascii="Arial" w:hAnsi="Arial" w:cs="Arial"/>
          <w:i/>
          <w:iCs/>
          <w:sz w:val="22"/>
          <w:szCs w:val="22"/>
          <w:lang w:val="en-GB"/>
        </w:rPr>
        <w:t>Biwater</w:t>
      </w:r>
      <w:proofErr w:type="spellEnd"/>
      <w:r w:rsidRPr="000D2CCA">
        <w:rPr>
          <w:rFonts w:ascii="Arial" w:hAnsi="Arial" w:cs="Arial"/>
          <w:i/>
          <w:iCs/>
          <w:sz w:val="22"/>
          <w:szCs w:val="22"/>
          <w:lang w:val="en-GB"/>
        </w:rPr>
        <w:t xml:space="preserve"> Gauff (Tanzania) Ltd. vs. United Republic of Tanzania</w:t>
      </w:r>
      <w:r w:rsidR="00B05580" w:rsidRPr="000D2CCA">
        <w:rPr>
          <w:rFonts w:ascii="Arial" w:hAnsi="Arial" w:cs="Arial"/>
          <w:sz w:val="22"/>
          <w:szCs w:val="22"/>
          <w:lang w:val="en-GB"/>
        </w:rPr>
        <w:t xml:space="preserve"> </w:t>
      </w:r>
      <w:r w:rsidRPr="000D2CCA">
        <w:rPr>
          <w:rFonts w:ascii="Arial" w:hAnsi="Arial" w:cs="Arial"/>
          <w:sz w:val="22"/>
          <w:szCs w:val="22"/>
          <w:lang w:val="en-GB"/>
        </w:rPr>
        <w:t>Case</w:t>
      </w:r>
      <w:r w:rsidR="00E13E79">
        <w:rPr>
          <w:rFonts w:ascii="Arial" w:hAnsi="Arial" w:cs="Arial"/>
          <w:sz w:val="22"/>
          <w:szCs w:val="22"/>
          <w:lang w:val="en-GB"/>
        </w:rPr>
        <w:t>. In:</w:t>
      </w:r>
      <w:r w:rsidR="00E13E79" w:rsidRPr="00E13E79">
        <w:rPr>
          <w:rFonts w:ascii="Arial" w:hAnsi="Arial" w:cs="Arial"/>
          <w:i/>
          <w:sz w:val="22"/>
          <w:szCs w:val="22"/>
          <w:lang w:val="en-GB"/>
        </w:rPr>
        <w:t xml:space="preserve"> </w:t>
      </w:r>
      <w:r w:rsidR="00E13E79" w:rsidRPr="000D2CCA">
        <w:rPr>
          <w:rFonts w:ascii="Arial" w:hAnsi="Arial" w:cs="Arial"/>
          <w:i/>
          <w:sz w:val="22"/>
          <w:szCs w:val="22"/>
          <w:lang w:val="en-GB"/>
        </w:rPr>
        <w:t xml:space="preserve">Cases Database. </w:t>
      </w:r>
      <w:r w:rsidR="00E13E79" w:rsidRPr="00E13E79">
        <w:rPr>
          <w:rFonts w:ascii="Arial" w:hAnsi="Arial" w:cs="Arial"/>
          <w:i/>
          <w:sz w:val="22"/>
          <w:szCs w:val="22"/>
          <w:lang w:val="en-GB"/>
        </w:rPr>
        <w:t>ICSID</w:t>
      </w:r>
      <w:r w:rsidR="00B05580" w:rsidRPr="000D2CCA">
        <w:rPr>
          <w:rFonts w:ascii="Arial" w:hAnsi="Arial" w:cs="Arial"/>
          <w:sz w:val="22"/>
          <w:szCs w:val="22"/>
          <w:lang w:val="en-GB"/>
        </w:rPr>
        <w:t xml:space="preserve"> [online]. [cit. 24. 4. 2022]. Available at:</w:t>
      </w:r>
      <w:r w:rsidR="00946B5F" w:rsidRPr="000D2CCA">
        <w:rPr>
          <w:rFonts w:ascii="Arial" w:hAnsi="Arial" w:cs="Arial"/>
          <w:sz w:val="22"/>
          <w:szCs w:val="22"/>
          <w:lang w:val="en-GB"/>
        </w:rPr>
        <w:t xml:space="preserve"> </w:t>
      </w:r>
      <w:r w:rsidR="004F3DBB" w:rsidRPr="000D2CCA">
        <w:rPr>
          <w:rFonts w:ascii="Arial" w:hAnsi="Arial" w:cs="Arial"/>
          <w:sz w:val="22"/>
          <w:szCs w:val="22"/>
          <w:lang w:val="en-GB"/>
        </w:rPr>
        <w:t>https://icsid.worldbank.org/cases/case-database/case-detail?CaseNo=ARB/05/22</w:t>
      </w:r>
    </w:p>
    <w:p w14:paraId="5EFBB69C" w14:textId="7DF9E38C" w:rsidR="004F3DBB" w:rsidRPr="000D2CCA" w:rsidRDefault="004F3DBB" w:rsidP="004F3DBB">
      <w:pPr>
        <w:pStyle w:val="Normlnweb"/>
        <w:numPr>
          <w:ilvl w:val="0"/>
          <w:numId w:val="14"/>
        </w:numPr>
        <w:spacing w:before="0" w:beforeAutospacing="0" w:after="120" w:afterAutospacing="0"/>
        <w:jc w:val="both"/>
        <w:rPr>
          <w:rStyle w:val="Hypertextovodkaz"/>
          <w:rFonts w:ascii="Arial" w:hAnsi="Arial" w:cs="Arial"/>
          <w:color w:val="auto"/>
          <w:sz w:val="22"/>
          <w:szCs w:val="22"/>
          <w:u w:val="none"/>
          <w:lang w:val="en-GB"/>
        </w:rPr>
      </w:pPr>
      <w:r w:rsidRPr="000D2CCA">
        <w:rPr>
          <w:rFonts w:ascii="Arial" w:hAnsi="Arial" w:cs="Arial"/>
          <w:sz w:val="22"/>
          <w:szCs w:val="22"/>
          <w:lang w:val="en-GB"/>
        </w:rPr>
        <w:t xml:space="preserve">ICC Arbitration Case of 26 March 1993, </w:t>
      </w:r>
      <w:r w:rsidR="002559EA">
        <w:rPr>
          <w:rFonts w:ascii="Arial" w:hAnsi="Arial" w:cs="Arial"/>
          <w:sz w:val="22"/>
          <w:szCs w:val="22"/>
          <w:lang w:val="en-GB"/>
        </w:rPr>
        <w:t>N</w:t>
      </w:r>
      <w:r w:rsidR="009551C1" w:rsidRPr="000D2CCA">
        <w:rPr>
          <w:rFonts w:ascii="Arial" w:hAnsi="Arial" w:cs="Arial"/>
          <w:sz w:val="22"/>
          <w:szCs w:val="22"/>
          <w:lang w:val="en-GB"/>
        </w:rPr>
        <w:t>o.</w:t>
      </w:r>
      <w:r w:rsidRPr="000D2CCA">
        <w:rPr>
          <w:rFonts w:ascii="Arial" w:hAnsi="Arial" w:cs="Arial"/>
          <w:sz w:val="22"/>
          <w:szCs w:val="22"/>
          <w:lang w:val="en-GB"/>
        </w:rPr>
        <w:t xml:space="preserve"> 6653</w:t>
      </w:r>
      <w:r w:rsidR="00E13E79">
        <w:rPr>
          <w:rFonts w:ascii="Arial" w:hAnsi="Arial" w:cs="Arial"/>
          <w:sz w:val="22"/>
          <w:szCs w:val="22"/>
          <w:lang w:val="en-GB"/>
        </w:rPr>
        <w:t xml:space="preserve">. In: </w:t>
      </w:r>
      <w:r w:rsidR="00E13E79" w:rsidRPr="000D2CCA">
        <w:rPr>
          <w:rFonts w:ascii="Arial" w:hAnsi="Arial" w:cs="Arial"/>
          <w:i/>
          <w:sz w:val="22"/>
          <w:szCs w:val="22"/>
          <w:lang w:val="en-GB"/>
        </w:rPr>
        <w:t xml:space="preserve">CISG Database. </w:t>
      </w:r>
      <w:r w:rsidR="00E13E79" w:rsidRPr="00E13E79">
        <w:rPr>
          <w:rFonts w:ascii="Arial" w:hAnsi="Arial" w:cs="Arial"/>
          <w:i/>
          <w:iCs/>
          <w:sz w:val="22"/>
          <w:szCs w:val="22"/>
          <w:lang w:val="en-GB"/>
        </w:rPr>
        <w:t xml:space="preserve">Pace University, Elisabeth </w:t>
      </w:r>
      <w:proofErr w:type="spellStart"/>
      <w:r w:rsidR="00E13E79" w:rsidRPr="00E13E79">
        <w:rPr>
          <w:rFonts w:ascii="Arial" w:hAnsi="Arial" w:cs="Arial"/>
          <w:i/>
          <w:iCs/>
          <w:sz w:val="22"/>
          <w:szCs w:val="22"/>
          <w:lang w:val="en-GB"/>
        </w:rPr>
        <w:t>Haub</w:t>
      </w:r>
      <w:proofErr w:type="spellEnd"/>
      <w:r w:rsidR="00E13E79" w:rsidRPr="00E13E79">
        <w:rPr>
          <w:rFonts w:ascii="Arial" w:hAnsi="Arial" w:cs="Arial"/>
          <w:i/>
          <w:iCs/>
          <w:sz w:val="22"/>
          <w:szCs w:val="22"/>
          <w:lang w:val="en-GB"/>
        </w:rPr>
        <w:t xml:space="preserve"> School of Law, Institute of International Commercial Law</w:t>
      </w:r>
      <w:r w:rsidRPr="000D2CCA">
        <w:rPr>
          <w:rFonts w:ascii="Arial" w:hAnsi="Arial" w:cs="Arial"/>
          <w:sz w:val="22"/>
          <w:szCs w:val="22"/>
          <w:lang w:val="en-GB"/>
        </w:rPr>
        <w:t xml:space="preserve"> </w:t>
      </w:r>
      <w:r w:rsidRPr="000D2CCA">
        <w:rPr>
          <w:rFonts w:ascii="Arial" w:hAnsi="Arial" w:cs="Arial"/>
          <w:color w:val="000000"/>
          <w:sz w:val="22"/>
          <w:szCs w:val="22"/>
          <w:lang w:val="en-GB"/>
        </w:rPr>
        <w:t xml:space="preserve">[online]. </w:t>
      </w:r>
      <w:r w:rsidR="009551C1" w:rsidRPr="000D2CCA">
        <w:rPr>
          <w:rFonts w:ascii="Arial" w:hAnsi="Arial" w:cs="Arial"/>
          <w:sz w:val="22"/>
          <w:szCs w:val="22"/>
          <w:lang w:val="en-GB"/>
        </w:rPr>
        <w:t>[cit. 24. 4. 2022]. Available at: https://iicl.law.pace.edu/cisg/cisg</w:t>
      </w:r>
    </w:p>
    <w:p w14:paraId="616D272C" w14:textId="0EB2E125" w:rsidR="00F71A90" w:rsidRPr="000D2CCA" w:rsidRDefault="003B4C80" w:rsidP="000D2EB5">
      <w:pPr>
        <w:pStyle w:val="Normlnweb"/>
        <w:numPr>
          <w:ilvl w:val="0"/>
          <w:numId w:val="21"/>
        </w:numPr>
        <w:spacing w:before="0" w:beforeAutospacing="0" w:after="120" w:afterAutospacing="0"/>
        <w:jc w:val="both"/>
        <w:rPr>
          <w:rFonts w:ascii="Arial" w:hAnsi="Arial" w:cs="Arial"/>
          <w:lang w:val="en-GB"/>
        </w:rPr>
      </w:pPr>
      <w:r w:rsidRPr="000D2CCA">
        <w:rPr>
          <w:rFonts w:ascii="Arial" w:hAnsi="Arial" w:cs="Arial"/>
          <w:lang w:val="en-GB"/>
        </w:rPr>
        <w:t xml:space="preserve">National courts </w:t>
      </w:r>
    </w:p>
    <w:p w14:paraId="1C63D0A5" w14:textId="6CF323A8" w:rsidR="000179FD" w:rsidRPr="000D2CCA" w:rsidRDefault="000179FD" w:rsidP="000179FD">
      <w:pPr>
        <w:pStyle w:val="Odstavecseseznamem"/>
        <w:numPr>
          <w:ilvl w:val="0"/>
          <w:numId w:val="21"/>
        </w:numPr>
        <w:ind w:left="1434" w:hanging="357"/>
        <w:rPr>
          <w:rFonts w:ascii="Arial" w:hAnsi="Arial" w:cs="Arial"/>
          <w:lang w:val="en-GB"/>
        </w:rPr>
      </w:pPr>
      <w:r w:rsidRPr="000D2CCA">
        <w:rPr>
          <w:rFonts w:ascii="Arial" w:hAnsi="Arial" w:cs="Arial"/>
          <w:lang w:val="en-GB"/>
        </w:rPr>
        <w:t>Judgment of the Higher Regional Cou</w:t>
      </w:r>
      <w:r w:rsidR="00EB29DD" w:rsidRPr="000D2CCA">
        <w:rPr>
          <w:rFonts w:ascii="Arial" w:hAnsi="Arial" w:cs="Arial"/>
          <w:lang w:val="en-GB"/>
        </w:rPr>
        <w:t>rt Cologne (</w:t>
      </w:r>
      <w:proofErr w:type="spellStart"/>
      <w:r w:rsidRPr="000D2CCA">
        <w:rPr>
          <w:rFonts w:ascii="Arial" w:hAnsi="Arial" w:cs="Arial"/>
          <w:lang w:val="en-GB"/>
        </w:rPr>
        <w:t>Oberlandesgericht</w:t>
      </w:r>
      <w:proofErr w:type="spellEnd"/>
      <w:r w:rsidRPr="000D2CCA">
        <w:rPr>
          <w:rFonts w:ascii="Arial" w:hAnsi="Arial" w:cs="Arial"/>
          <w:lang w:val="en-GB"/>
        </w:rPr>
        <w:t xml:space="preserve"> Köln</w:t>
      </w:r>
      <w:r w:rsidR="00EB29DD" w:rsidRPr="000D2CCA">
        <w:rPr>
          <w:rFonts w:ascii="Arial" w:hAnsi="Arial" w:cs="Arial"/>
          <w:lang w:val="en-GB"/>
        </w:rPr>
        <w:t>)</w:t>
      </w:r>
      <w:r w:rsidRPr="000D2CCA">
        <w:rPr>
          <w:rFonts w:ascii="Arial" w:hAnsi="Arial" w:cs="Arial"/>
          <w:lang w:val="en-GB"/>
        </w:rPr>
        <w:t xml:space="preserve">, Germany of 21 May 1996, </w:t>
      </w:r>
      <w:r w:rsidR="00EB29DD" w:rsidRPr="000D2CCA">
        <w:rPr>
          <w:rFonts w:ascii="Arial" w:hAnsi="Arial" w:cs="Arial"/>
          <w:lang w:val="en-GB"/>
        </w:rPr>
        <w:t>Case</w:t>
      </w:r>
      <w:r w:rsidRPr="000D2CCA">
        <w:rPr>
          <w:rFonts w:ascii="Arial" w:hAnsi="Arial" w:cs="Arial"/>
          <w:lang w:val="en-GB"/>
        </w:rPr>
        <w:t xml:space="preserve"> </w:t>
      </w:r>
      <w:r w:rsidR="002559EA">
        <w:rPr>
          <w:rFonts w:ascii="Arial" w:hAnsi="Arial" w:cs="Arial"/>
          <w:lang w:val="en-GB"/>
        </w:rPr>
        <w:t>N</w:t>
      </w:r>
      <w:r w:rsidR="00D66A84" w:rsidRPr="000D2CCA">
        <w:rPr>
          <w:rFonts w:ascii="Arial" w:hAnsi="Arial" w:cs="Arial"/>
          <w:lang w:val="en-GB"/>
        </w:rPr>
        <w:t xml:space="preserve">o. </w:t>
      </w:r>
      <w:r w:rsidRPr="000D2CCA">
        <w:rPr>
          <w:rFonts w:ascii="Arial" w:hAnsi="Arial" w:cs="Arial"/>
          <w:lang w:val="en-GB"/>
        </w:rPr>
        <w:t>22 U 4/96</w:t>
      </w:r>
      <w:r w:rsidR="00E13E79">
        <w:rPr>
          <w:rFonts w:ascii="Arial" w:hAnsi="Arial" w:cs="Arial"/>
          <w:lang w:val="en-GB"/>
        </w:rPr>
        <w:t xml:space="preserve">. In: </w:t>
      </w:r>
      <w:r w:rsidR="00E13E79" w:rsidRPr="00E13E79">
        <w:rPr>
          <w:rFonts w:ascii="Arial" w:hAnsi="Arial" w:cs="Arial"/>
          <w:i/>
          <w:lang w:val="en-GB"/>
        </w:rPr>
        <w:t xml:space="preserve">CISG Database. Pace University, Elisabeth </w:t>
      </w:r>
      <w:proofErr w:type="spellStart"/>
      <w:r w:rsidR="00E13E79" w:rsidRPr="00E13E79">
        <w:rPr>
          <w:rFonts w:ascii="Arial" w:hAnsi="Arial" w:cs="Arial"/>
          <w:i/>
          <w:lang w:val="en-GB"/>
        </w:rPr>
        <w:t>Haub</w:t>
      </w:r>
      <w:proofErr w:type="spellEnd"/>
      <w:r w:rsidR="00E13E79" w:rsidRPr="00E13E79">
        <w:rPr>
          <w:rFonts w:ascii="Arial" w:hAnsi="Arial" w:cs="Arial"/>
          <w:i/>
          <w:lang w:val="en-GB"/>
        </w:rPr>
        <w:t xml:space="preserve"> School of Law, Institute of International Commercial Law</w:t>
      </w:r>
      <w:r w:rsidRPr="000D2CCA">
        <w:rPr>
          <w:rFonts w:ascii="Arial" w:hAnsi="Arial" w:cs="Arial"/>
          <w:lang w:val="en-GB"/>
        </w:rPr>
        <w:t xml:space="preserve"> [online]. [</w:t>
      </w:r>
      <w:r w:rsidR="00EB29DD" w:rsidRPr="000D2CCA">
        <w:rPr>
          <w:rFonts w:ascii="Arial" w:hAnsi="Arial" w:cs="Arial"/>
          <w:lang w:val="en-GB"/>
        </w:rPr>
        <w:t>cit. 24. 4. 2022</w:t>
      </w:r>
      <w:r w:rsidR="00BF6A68" w:rsidRPr="000D2CCA">
        <w:rPr>
          <w:rFonts w:ascii="Arial" w:hAnsi="Arial" w:cs="Arial"/>
          <w:lang w:val="en-GB"/>
        </w:rPr>
        <w:t>]. Available at:</w:t>
      </w:r>
      <w:r w:rsidR="000C02CF" w:rsidRPr="000D2CCA">
        <w:rPr>
          <w:rFonts w:ascii="Arial" w:hAnsi="Arial" w:cs="Arial"/>
          <w:lang w:val="en-GB"/>
        </w:rPr>
        <w:t xml:space="preserve"> https://iicl.law.pace.edu/cisg/cisg</w:t>
      </w:r>
    </w:p>
    <w:p w14:paraId="10A3D5D1" w14:textId="77777777" w:rsidR="003B4C80" w:rsidRPr="000D2CCA" w:rsidRDefault="003B4C80" w:rsidP="000C02CF">
      <w:pPr>
        <w:pStyle w:val="Odstavecseseznamem"/>
        <w:numPr>
          <w:ilvl w:val="0"/>
          <w:numId w:val="0"/>
        </w:numPr>
        <w:spacing w:line="240" w:lineRule="auto"/>
        <w:ind w:left="1434"/>
        <w:contextualSpacing w:val="0"/>
        <w:rPr>
          <w:rFonts w:ascii="Arial" w:hAnsi="Arial" w:cs="Arial"/>
          <w:lang w:val="en-GB"/>
        </w:rPr>
      </w:pPr>
    </w:p>
    <w:p w14:paraId="6D16ACD5" w14:textId="3E357DBC" w:rsidR="001F1912" w:rsidRPr="000D2CCA" w:rsidRDefault="001F1912" w:rsidP="003D2E71">
      <w:pPr>
        <w:pStyle w:val="Odstavecseseznamem"/>
        <w:numPr>
          <w:ilvl w:val="0"/>
          <w:numId w:val="0"/>
        </w:numPr>
        <w:spacing w:line="240" w:lineRule="auto"/>
        <w:ind w:left="720"/>
        <w:contextualSpacing w:val="0"/>
        <w:rPr>
          <w:rFonts w:ascii="Garamond" w:hAnsi="Garamond"/>
          <w:sz w:val="24"/>
          <w:lang w:val="en-GB"/>
        </w:rPr>
      </w:pPr>
      <w:r w:rsidRPr="000D2CCA">
        <w:rPr>
          <w:rFonts w:ascii="Garamond" w:hAnsi="Garamond"/>
          <w:sz w:val="24"/>
          <w:lang w:val="en-GB"/>
        </w:rPr>
        <w:t>…………………………………………………………………………………………</w:t>
      </w:r>
    </w:p>
    <w:p w14:paraId="2C29F29C" w14:textId="3C7B93F3" w:rsidR="008C22BC" w:rsidRPr="000D2CCA" w:rsidRDefault="008C22BC" w:rsidP="003D2E71">
      <w:pPr>
        <w:pStyle w:val="Nadpis2"/>
        <w:spacing w:after="120"/>
        <w:rPr>
          <w:lang w:val="en-GB"/>
        </w:rPr>
      </w:pPr>
      <w:r w:rsidRPr="000D2CCA">
        <w:rPr>
          <w:lang w:val="en-GB"/>
        </w:rPr>
        <w:t xml:space="preserve">ABBREVIATIONS </w:t>
      </w:r>
    </w:p>
    <w:p w14:paraId="450728C3" w14:textId="57A4F5C6" w:rsidR="001F1912" w:rsidRPr="000D2CCA" w:rsidRDefault="001F1912" w:rsidP="003D2E71">
      <w:pPr>
        <w:spacing w:after="120" w:line="240" w:lineRule="auto"/>
        <w:jc w:val="both"/>
        <w:rPr>
          <w:rFonts w:ascii="Arial" w:hAnsi="Arial" w:cs="Arial"/>
          <w:bCs/>
          <w:lang w:val="en-GB"/>
        </w:rPr>
      </w:pPr>
      <w:r w:rsidRPr="000D2CCA">
        <w:rPr>
          <w:rFonts w:ascii="Arial" w:hAnsi="Arial" w:cs="Arial"/>
          <w:lang w:val="en-GB" w:eastAsia="ar-SA"/>
        </w:rPr>
        <w:t xml:space="preserve">If you use the following abbreviations in the text, you can </w:t>
      </w:r>
      <w:r w:rsidRPr="009920D5">
        <w:rPr>
          <w:rFonts w:ascii="Arial" w:eastAsiaTheme="majorEastAsia" w:hAnsi="Arial" w:cs="Arial"/>
          <w:bCs/>
          <w:iCs/>
          <w:color w:val="0000DC"/>
          <w:lang w:val="en-GB"/>
        </w:rPr>
        <w:t xml:space="preserve">use </w:t>
      </w:r>
      <w:r w:rsidR="00D20561" w:rsidRPr="009920D5">
        <w:rPr>
          <w:rFonts w:ascii="Arial" w:eastAsiaTheme="majorEastAsia" w:hAnsi="Arial" w:cs="Arial"/>
          <w:bCs/>
          <w:iCs/>
          <w:color w:val="0000DC"/>
          <w:lang w:val="en-GB"/>
        </w:rPr>
        <w:t xml:space="preserve">directly </w:t>
      </w:r>
      <w:r w:rsidRPr="009920D5">
        <w:rPr>
          <w:rFonts w:ascii="Arial" w:eastAsiaTheme="majorEastAsia" w:hAnsi="Arial" w:cs="Arial"/>
          <w:bCs/>
          <w:iCs/>
          <w:color w:val="0000DC"/>
          <w:lang w:val="en-GB"/>
        </w:rPr>
        <w:t>the established abbreviations</w:t>
      </w:r>
      <w:r w:rsidR="0070752E" w:rsidRPr="000D2CCA">
        <w:rPr>
          <w:rFonts w:ascii="Arial" w:hAnsi="Arial" w:cs="Arial"/>
          <w:lang w:val="en-GB" w:eastAsia="ar-SA"/>
        </w:rPr>
        <w:t xml:space="preserve">. </w:t>
      </w:r>
      <w:r w:rsidR="00C40DF5" w:rsidRPr="000D2CCA">
        <w:rPr>
          <w:rFonts w:ascii="Arial" w:hAnsi="Arial" w:cs="Arial"/>
          <w:bCs/>
          <w:lang w:val="en-GB"/>
        </w:rPr>
        <w:t xml:space="preserve">If the abbreviation is </w:t>
      </w:r>
      <w:r w:rsidR="00D978D5" w:rsidRPr="000D2CCA">
        <w:rPr>
          <w:rFonts w:ascii="Arial" w:hAnsi="Arial" w:cs="Arial"/>
          <w:bCs/>
          <w:lang w:val="en-GB"/>
        </w:rPr>
        <w:t>not</w:t>
      </w:r>
      <w:r w:rsidR="00C40DF5" w:rsidRPr="000D2CCA">
        <w:rPr>
          <w:rFonts w:ascii="Arial" w:hAnsi="Arial" w:cs="Arial"/>
          <w:bCs/>
          <w:lang w:val="en-GB"/>
        </w:rPr>
        <w:t xml:space="preserve"> listed, you can establish your own directly in the text. It</w:t>
      </w:r>
      <w:r w:rsidR="00C40DF5" w:rsidRPr="000D2CCA">
        <w:rPr>
          <w:rFonts w:ascii="Arial" w:hAnsi="Arial" w:cs="Arial"/>
          <w:lang w:val="en-GB"/>
        </w:rPr>
        <w:t xml:space="preserve"> is necessary to use the whole name or title when you mention it for the first time. Then</w:t>
      </w:r>
      <w:r w:rsidR="003A344E">
        <w:rPr>
          <w:rFonts w:ascii="Arial" w:hAnsi="Arial" w:cs="Arial"/>
          <w:lang w:val="en-GB"/>
        </w:rPr>
        <w:t>,</w:t>
      </w:r>
      <w:r w:rsidR="00C40DF5" w:rsidRPr="000D2CCA">
        <w:rPr>
          <w:rFonts w:ascii="Arial" w:hAnsi="Arial" w:cs="Arial"/>
          <w:lang w:val="en-GB"/>
        </w:rPr>
        <w:t xml:space="preserve"> it is possible to introduce the abbreviation. </w:t>
      </w:r>
      <w:r w:rsidR="00C40DF5" w:rsidRPr="003A344E">
        <w:rPr>
          <w:rFonts w:ascii="Arial" w:eastAsiaTheme="majorEastAsia" w:hAnsi="Arial" w:cs="Arial"/>
          <w:bCs/>
          <w:iCs/>
          <w:color w:val="0000DC"/>
          <w:lang w:val="en-GB"/>
        </w:rPr>
        <w:t>If you want to introduce abbreviation in your paper</w:t>
      </w:r>
      <w:r w:rsidR="00C40DF5" w:rsidRPr="000D2CCA">
        <w:rPr>
          <w:rFonts w:ascii="Arial" w:hAnsi="Arial" w:cs="Arial"/>
          <w:lang w:val="en-GB"/>
        </w:rPr>
        <w:t xml:space="preserve">, please use the following form: </w:t>
      </w:r>
      <w:r w:rsidR="00C40DF5" w:rsidRPr="003A344E">
        <w:rPr>
          <w:rFonts w:ascii="Arial" w:hAnsi="Arial" w:cs="Arial"/>
          <w:bCs/>
          <w:i/>
          <w:iCs/>
          <w:lang w:val="en-GB"/>
        </w:rPr>
        <w:t>I have chosen to focus only on five signatories of the joint statement, namely Hong Kong International Arbitration Centre (“HKIAC”), Singapore International Arbitration Centre (“SIAC”), London Court of International Arbitration (“LCIA”) and Stockholm Chamber of Commerce (“SCC”).</w:t>
      </w:r>
    </w:p>
    <w:p w14:paraId="6D08227E" w14:textId="77777777" w:rsidR="00C40DF5" w:rsidRPr="000D2CCA" w:rsidRDefault="00C40DF5" w:rsidP="003D2E71">
      <w:pPr>
        <w:spacing w:after="120" w:line="240" w:lineRule="auto"/>
        <w:jc w:val="both"/>
        <w:rPr>
          <w:rFonts w:ascii="Arial" w:hAnsi="Arial" w:cs="Arial"/>
          <w:lang w:val="en-GB" w:eastAsia="ar-SA"/>
        </w:rPr>
      </w:pPr>
    </w:p>
    <w:tbl>
      <w:tblPr>
        <w:tblW w:w="8046" w:type="dxa"/>
        <w:tblLook w:val="04A0" w:firstRow="1" w:lastRow="0" w:firstColumn="1" w:lastColumn="0" w:noHBand="0" w:noVBand="1"/>
      </w:tblPr>
      <w:tblGrid>
        <w:gridCol w:w="3227"/>
        <w:gridCol w:w="4819"/>
      </w:tblGrid>
      <w:tr w:rsidR="008C22BC" w:rsidRPr="00281A1D" w14:paraId="68A51F65" w14:textId="77777777" w:rsidTr="0088408B">
        <w:tc>
          <w:tcPr>
            <w:tcW w:w="3227" w:type="dxa"/>
            <w:shd w:val="clear" w:color="auto" w:fill="auto"/>
          </w:tcPr>
          <w:p w14:paraId="29FE1510"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Art.</w:t>
            </w:r>
          </w:p>
        </w:tc>
        <w:tc>
          <w:tcPr>
            <w:tcW w:w="4819" w:type="dxa"/>
            <w:shd w:val="clear" w:color="auto" w:fill="auto"/>
          </w:tcPr>
          <w:p w14:paraId="137ACA07" w14:textId="77777777" w:rsidR="008C22BC" w:rsidRPr="00281A1D" w:rsidRDefault="008C22BC"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Article / Articles</w:t>
            </w:r>
          </w:p>
        </w:tc>
      </w:tr>
      <w:tr w:rsidR="008C22BC" w:rsidRPr="00281A1D" w14:paraId="36AAD69A" w14:textId="77777777" w:rsidTr="0088408B">
        <w:tc>
          <w:tcPr>
            <w:tcW w:w="3227" w:type="dxa"/>
            <w:shd w:val="clear" w:color="auto" w:fill="auto"/>
          </w:tcPr>
          <w:p w14:paraId="21B25004"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bCs/>
                <w:color w:val="000000" w:themeColor="text1"/>
                <w:lang w:val="en-GB"/>
              </w:rPr>
              <w:t>BIT / BITs</w:t>
            </w:r>
          </w:p>
        </w:tc>
        <w:tc>
          <w:tcPr>
            <w:tcW w:w="4819" w:type="dxa"/>
            <w:shd w:val="clear" w:color="auto" w:fill="auto"/>
          </w:tcPr>
          <w:p w14:paraId="50B479A0"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Bilateral Investment Treaty / Bilateral Investment Treaties</w:t>
            </w:r>
          </w:p>
        </w:tc>
      </w:tr>
      <w:tr w:rsidR="003A344E" w:rsidRPr="00281A1D" w14:paraId="31A0952F" w14:textId="77777777" w:rsidTr="0088408B">
        <w:tc>
          <w:tcPr>
            <w:tcW w:w="3227" w:type="dxa"/>
            <w:shd w:val="clear" w:color="auto" w:fill="auto"/>
          </w:tcPr>
          <w:p w14:paraId="0CD716B6" w14:textId="7888084F"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Brussels Convention</w:t>
            </w:r>
          </w:p>
        </w:tc>
        <w:tc>
          <w:tcPr>
            <w:tcW w:w="4819" w:type="dxa"/>
            <w:shd w:val="clear" w:color="auto" w:fill="auto"/>
          </w:tcPr>
          <w:p w14:paraId="328EF6D8" w14:textId="1BE84B48" w:rsidR="003A344E" w:rsidRPr="00281A1D" w:rsidRDefault="003A344E" w:rsidP="00281A1D">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Convention of 27 September 1968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and the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J</w:t>
            </w:r>
            <w:r w:rsidRPr="00281A1D">
              <w:rPr>
                <w:rFonts w:ascii="Arial" w:hAnsi="Arial" w:cs="Arial"/>
                <w:color w:val="000000" w:themeColor="text1"/>
                <w:lang w:val="en-GB"/>
              </w:rPr>
              <w:t xml:space="preserve">udgments in </w:t>
            </w:r>
            <w:r w:rsidR="007A4108">
              <w:rPr>
                <w:rFonts w:ascii="Arial" w:hAnsi="Arial" w:cs="Arial"/>
                <w:color w:val="000000" w:themeColor="text1"/>
                <w:lang w:val="en-GB"/>
              </w:rPr>
              <w:t>C</w:t>
            </w:r>
            <w:r w:rsidRPr="00281A1D">
              <w:rPr>
                <w:rFonts w:ascii="Arial" w:hAnsi="Arial" w:cs="Arial"/>
                <w:color w:val="000000" w:themeColor="text1"/>
                <w:lang w:val="en-GB"/>
              </w:rPr>
              <w:t xml:space="preserve">ivil and </w:t>
            </w:r>
            <w:r w:rsidR="007A4108">
              <w:rPr>
                <w:rFonts w:ascii="Arial" w:hAnsi="Arial" w:cs="Arial"/>
                <w:color w:val="000000" w:themeColor="text1"/>
                <w:lang w:val="en-GB"/>
              </w:rPr>
              <w:t>C</w:t>
            </w:r>
            <w:r w:rsidRPr="00281A1D">
              <w:rPr>
                <w:rFonts w:ascii="Arial" w:hAnsi="Arial" w:cs="Arial"/>
                <w:color w:val="000000" w:themeColor="text1"/>
                <w:lang w:val="en-GB"/>
              </w:rPr>
              <w:t xml:space="preserve">ommercial </w:t>
            </w:r>
            <w:r w:rsidR="007A4108">
              <w:rPr>
                <w:rFonts w:ascii="Arial" w:hAnsi="Arial" w:cs="Arial"/>
                <w:color w:val="000000" w:themeColor="text1"/>
                <w:lang w:val="en-GB"/>
              </w:rPr>
              <w:t>M</w:t>
            </w:r>
            <w:r w:rsidRPr="00281A1D">
              <w:rPr>
                <w:rFonts w:ascii="Arial" w:hAnsi="Arial" w:cs="Arial"/>
                <w:color w:val="000000" w:themeColor="text1"/>
                <w:lang w:val="en-GB"/>
              </w:rPr>
              <w:t>atters</w:t>
            </w:r>
          </w:p>
        </w:tc>
      </w:tr>
      <w:tr w:rsidR="003A344E" w:rsidRPr="00281A1D" w14:paraId="457C187E" w14:textId="77777777" w:rsidTr="003A344E">
        <w:trPr>
          <w:trHeight w:val="1224"/>
        </w:trPr>
        <w:tc>
          <w:tcPr>
            <w:tcW w:w="3227" w:type="dxa"/>
            <w:shd w:val="clear" w:color="auto" w:fill="auto"/>
          </w:tcPr>
          <w:p w14:paraId="7F3A8C95" w14:textId="06F9B1C8"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Brussels I Regulation</w:t>
            </w:r>
          </w:p>
        </w:tc>
        <w:tc>
          <w:tcPr>
            <w:tcW w:w="4819" w:type="dxa"/>
            <w:shd w:val="clear" w:color="auto" w:fill="auto"/>
          </w:tcPr>
          <w:p w14:paraId="04302159" w14:textId="0DDAFC0C" w:rsidR="003A344E" w:rsidRPr="00281A1D" w:rsidRDefault="003A344E" w:rsidP="00281A1D">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Council Regulation (EC) No 44/2001 of 22 December 2000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and the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and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J</w:t>
            </w:r>
            <w:r w:rsidRPr="00281A1D">
              <w:rPr>
                <w:rFonts w:ascii="Arial" w:hAnsi="Arial" w:cs="Arial"/>
                <w:color w:val="000000" w:themeColor="text1"/>
                <w:lang w:val="en-GB"/>
              </w:rPr>
              <w:t xml:space="preserve">udgments in </w:t>
            </w:r>
            <w:r w:rsidR="007A4108">
              <w:rPr>
                <w:rFonts w:ascii="Arial" w:hAnsi="Arial" w:cs="Arial"/>
                <w:color w:val="000000" w:themeColor="text1"/>
                <w:lang w:val="en-GB"/>
              </w:rPr>
              <w:t>C</w:t>
            </w:r>
            <w:r w:rsidRPr="00281A1D">
              <w:rPr>
                <w:rFonts w:ascii="Arial" w:hAnsi="Arial" w:cs="Arial"/>
                <w:color w:val="000000" w:themeColor="text1"/>
                <w:lang w:val="en-GB"/>
              </w:rPr>
              <w:t xml:space="preserve">ivil and </w:t>
            </w:r>
            <w:r w:rsidR="007A4108">
              <w:rPr>
                <w:rFonts w:ascii="Arial" w:hAnsi="Arial" w:cs="Arial"/>
                <w:color w:val="000000" w:themeColor="text1"/>
                <w:lang w:val="en-GB"/>
              </w:rPr>
              <w:t>C</w:t>
            </w:r>
            <w:r w:rsidRPr="00281A1D">
              <w:rPr>
                <w:rFonts w:ascii="Arial" w:hAnsi="Arial" w:cs="Arial"/>
                <w:color w:val="000000" w:themeColor="text1"/>
                <w:lang w:val="en-GB"/>
              </w:rPr>
              <w:t xml:space="preserve">ommercial </w:t>
            </w:r>
            <w:r w:rsidR="007A4108">
              <w:rPr>
                <w:rFonts w:ascii="Arial" w:hAnsi="Arial" w:cs="Arial"/>
                <w:color w:val="000000" w:themeColor="text1"/>
                <w:lang w:val="en-GB"/>
              </w:rPr>
              <w:t>M</w:t>
            </w:r>
            <w:r w:rsidRPr="00281A1D">
              <w:rPr>
                <w:rFonts w:ascii="Arial" w:hAnsi="Arial" w:cs="Arial"/>
                <w:color w:val="000000" w:themeColor="text1"/>
                <w:lang w:val="en-GB"/>
              </w:rPr>
              <w:t>atters</w:t>
            </w:r>
          </w:p>
        </w:tc>
      </w:tr>
      <w:tr w:rsidR="003A344E" w:rsidRPr="00281A1D" w14:paraId="5D7FF71D" w14:textId="77777777" w:rsidTr="0088408B">
        <w:tc>
          <w:tcPr>
            <w:tcW w:w="3227" w:type="dxa"/>
            <w:shd w:val="clear" w:color="auto" w:fill="auto"/>
          </w:tcPr>
          <w:p w14:paraId="287B36B2" w14:textId="5208BA1B"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Brussels I bis</w:t>
            </w:r>
          </w:p>
        </w:tc>
        <w:tc>
          <w:tcPr>
            <w:tcW w:w="4819" w:type="dxa"/>
            <w:shd w:val="clear" w:color="auto" w:fill="auto"/>
          </w:tcPr>
          <w:p w14:paraId="19EE13F2" w14:textId="2A3855B4" w:rsidR="003A344E" w:rsidRPr="00281A1D" w:rsidRDefault="003A344E" w:rsidP="00281A1D">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Regulation (EU) No 1215/2012 of the European Parliament and of the Council of 12 December 2012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and the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and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J</w:t>
            </w:r>
            <w:r w:rsidRPr="00281A1D">
              <w:rPr>
                <w:rFonts w:ascii="Arial" w:hAnsi="Arial" w:cs="Arial"/>
                <w:color w:val="000000" w:themeColor="text1"/>
                <w:lang w:val="en-GB"/>
              </w:rPr>
              <w:t xml:space="preserve">udgments in </w:t>
            </w:r>
            <w:r w:rsidR="007A4108">
              <w:rPr>
                <w:rFonts w:ascii="Arial" w:hAnsi="Arial" w:cs="Arial"/>
                <w:color w:val="000000" w:themeColor="text1"/>
                <w:lang w:val="en-GB"/>
              </w:rPr>
              <w:t>C</w:t>
            </w:r>
            <w:r w:rsidRPr="00281A1D">
              <w:rPr>
                <w:rFonts w:ascii="Arial" w:hAnsi="Arial" w:cs="Arial"/>
                <w:color w:val="000000" w:themeColor="text1"/>
                <w:lang w:val="en-GB"/>
              </w:rPr>
              <w:t xml:space="preserve">ivil and </w:t>
            </w:r>
            <w:r w:rsidR="007A4108">
              <w:rPr>
                <w:rFonts w:ascii="Arial" w:hAnsi="Arial" w:cs="Arial"/>
                <w:color w:val="000000" w:themeColor="text1"/>
                <w:lang w:val="en-GB"/>
              </w:rPr>
              <w:t>C</w:t>
            </w:r>
            <w:r w:rsidRPr="00281A1D">
              <w:rPr>
                <w:rFonts w:ascii="Arial" w:hAnsi="Arial" w:cs="Arial"/>
                <w:color w:val="000000" w:themeColor="text1"/>
                <w:lang w:val="en-GB"/>
              </w:rPr>
              <w:t xml:space="preserve">ommercial </w:t>
            </w:r>
            <w:r w:rsidR="007A4108">
              <w:rPr>
                <w:rFonts w:ascii="Arial" w:hAnsi="Arial" w:cs="Arial"/>
                <w:color w:val="000000" w:themeColor="text1"/>
                <w:lang w:val="en-GB"/>
              </w:rPr>
              <w:t>M</w:t>
            </w:r>
            <w:r w:rsidRPr="00281A1D">
              <w:rPr>
                <w:rFonts w:ascii="Arial" w:hAnsi="Arial" w:cs="Arial"/>
                <w:color w:val="000000" w:themeColor="text1"/>
                <w:lang w:val="en-GB"/>
              </w:rPr>
              <w:t>atters</w:t>
            </w:r>
          </w:p>
        </w:tc>
      </w:tr>
      <w:tr w:rsidR="003A344E" w:rsidRPr="00281A1D" w14:paraId="0CB29632" w14:textId="77777777" w:rsidTr="0088408B">
        <w:tc>
          <w:tcPr>
            <w:tcW w:w="3227" w:type="dxa"/>
            <w:shd w:val="clear" w:color="auto" w:fill="auto"/>
          </w:tcPr>
          <w:p w14:paraId="5317F690" w14:textId="3A38AF44"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Brussels II Regulation</w:t>
            </w:r>
          </w:p>
        </w:tc>
        <w:tc>
          <w:tcPr>
            <w:tcW w:w="4819" w:type="dxa"/>
            <w:shd w:val="clear" w:color="auto" w:fill="auto"/>
          </w:tcPr>
          <w:p w14:paraId="57774236" w14:textId="17C869CF" w:rsidR="003A344E" w:rsidRPr="00281A1D" w:rsidRDefault="003A344E" w:rsidP="003A344E">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Council Regulation (EC) No 1347/2000 of 29 May 2000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and the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and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J</w:t>
            </w:r>
            <w:r w:rsidRPr="00281A1D">
              <w:rPr>
                <w:rFonts w:ascii="Arial" w:hAnsi="Arial" w:cs="Arial"/>
                <w:color w:val="000000" w:themeColor="text1"/>
                <w:lang w:val="en-GB"/>
              </w:rPr>
              <w:t xml:space="preserve">udgments in </w:t>
            </w:r>
            <w:r w:rsidR="007A4108">
              <w:rPr>
                <w:rFonts w:ascii="Arial" w:hAnsi="Arial" w:cs="Arial"/>
                <w:color w:val="000000" w:themeColor="text1"/>
                <w:lang w:val="en-GB"/>
              </w:rPr>
              <w:t>M</w:t>
            </w:r>
            <w:r w:rsidRPr="00281A1D">
              <w:rPr>
                <w:rFonts w:ascii="Arial" w:hAnsi="Arial" w:cs="Arial"/>
                <w:color w:val="000000" w:themeColor="text1"/>
                <w:lang w:val="en-GB"/>
              </w:rPr>
              <w:t xml:space="preserve">atrimonial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and in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of </w:t>
            </w:r>
            <w:r w:rsidR="007A4108">
              <w:rPr>
                <w:rFonts w:ascii="Arial" w:hAnsi="Arial" w:cs="Arial"/>
                <w:color w:val="000000" w:themeColor="text1"/>
                <w:lang w:val="en-GB"/>
              </w:rPr>
              <w:t>P</w:t>
            </w:r>
            <w:r w:rsidRPr="00281A1D">
              <w:rPr>
                <w:rFonts w:ascii="Arial" w:hAnsi="Arial" w:cs="Arial"/>
                <w:color w:val="000000" w:themeColor="text1"/>
                <w:lang w:val="en-GB"/>
              </w:rPr>
              <w:t xml:space="preserve">arental </w:t>
            </w:r>
            <w:r w:rsidR="007A4108">
              <w:rPr>
                <w:rFonts w:ascii="Arial" w:hAnsi="Arial" w:cs="Arial"/>
                <w:color w:val="000000" w:themeColor="text1"/>
                <w:lang w:val="en-GB"/>
              </w:rPr>
              <w:t>R</w:t>
            </w:r>
            <w:r w:rsidRPr="00281A1D">
              <w:rPr>
                <w:rFonts w:ascii="Arial" w:hAnsi="Arial" w:cs="Arial"/>
                <w:color w:val="000000" w:themeColor="text1"/>
                <w:lang w:val="en-GB"/>
              </w:rPr>
              <w:t xml:space="preserve">esponsibility for </w:t>
            </w:r>
            <w:r w:rsidR="007A4108">
              <w:rPr>
                <w:rFonts w:ascii="Arial" w:hAnsi="Arial" w:cs="Arial"/>
                <w:color w:val="000000" w:themeColor="text1"/>
                <w:lang w:val="en-GB"/>
              </w:rPr>
              <w:t>C</w:t>
            </w:r>
            <w:r w:rsidRPr="00281A1D">
              <w:rPr>
                <w:rFonts w:ascii="Arial" w:hAnsi="Arial" w:cs="Arial"/>
                <w:color w:val="000000" w:themeColor="text1"/>
                <w:lang w:val="en-GB"/>
              </w:rPr>
              <w:t xml:space="preserve">hildren of </w:t>
            </w:r>
            <w:r w:rsidR="007A4108">
              <w:rPr>
                <w:rFonts w:ascii="Arial" w:hAnsi="Arial" w:cs="Arial"/>
                <w:color w:val="000000" w:themeColor="text1"/>
                <w:lang w:val="en-GB"/>
              </w:rPr>
              <w:t>B</w:t>
            </w:r>
            <w:r w:rsidRPr="00281A1D">
              <w:rPr>
                <w:rFonts w:ascii="Arial" w:hAnsi="Arial" w:cs="Arial"/>
                <w:color w:val="000000" w:themeColor="text1"/>
                <w:lang w:val="en-GB"/>
              </w:rPr>
              <w:t xml:space="preserve">oth </w:t>
            </w:r>
            <w:r w:rsidR="007A4108">
              <w:rPr>
                <w:rFonts w:ascii="Arial" w:hAnsi="Arial" w:cs="Arial"/>
                <w:color w:val="000000" w:themeColor="text1"/>
                <w:lang w:val="en-GB"/>
              </w:rPr>
              <w:t>S</w:t>
            </w:r>
            <w:r w:rsidRPr="00281A1D">
              <w:rPr>
                <w:rFonts w:ascii="Arial" w:hAnsi="Arial" w:cs="Arial"/>
                <w:color w:val="000000" w:themeColor="text1"/>
                <w:lang w:val="en-GB"/>
              </w:rPr>
              <w:t>pouses</w:t>
            </w:r>
          </w:p>
          <w:p w14:paraId="595AD537" w14:textId="77777777" w:rsidR="003A344E" w:rsidRPr="00281A1D" w:rsidRDefault="003A344E" w:rsidP="003D2E71">
            <w:pPr>
              <w:spacing w:after="120" w:line="240" w:lineRule="auto"/>
              <w:jc w:val="both"/>
              <w:rPr>
                <w:rFonts w:ascii="Arial" w:hAnsi="Arial" w:cs="Arial"/>
                <w:color w:val="000000" w:themeColor="text1"/>
                <w:lang w:val="en-GB"/>
              </w:rPr>
            </w:pPr>
          </w:p>
        </w:tc>
      </w:tr>
      <w:tr w:rsidR="003A344E" w:rsidRPr="00281A1D" w14:paraId="7F56175F" w14:textId="77777777" w:rsidTr="0088408B">
        <w:tc>
          <w:tcPr>
            <w:tcW w:w="3227" w:type="dxa"/>
            <w:shd w:val="clear" w:color="auto" w:fill="auto"/>
          </w:tcPr>
          <w:p w14:paraId="541243E6" w14:textId="24CBA1E8"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lastRenderedPageBreak/>
              <w:t>Brussels II bis Regulation</w:t>
            </w:r>
          </w:p>
        </w:tc>
        <w:tc>
          <w:tcPr>
            <w:tcW w:w="4819" w:type="dxa"/>
            <w:shd w:val="clear" w:color="auto" w:fill="auto"/>
          </w:tcPr>
          <w:p w14:paraId="5BC3BDD2" w14:textId="20DBDEED" w:rsidR="003A344E" w:rsidRPr="00281A1D" w:rsidRDefault="003A344E" w:rsidP="00281A1D">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Council Regulation (EC) No 2201/2003 of 27 November 2003 </w:t>
            </w:r>
            <w:r w:rsidR="007A4108">
              <w:rPr>
                <w:rFonts w:ascii="Arial" w:hAnsi="Arial" w:cs="Arial"/>
                <w:color w:val="000000" w:themeColor="text1"/>
                <w:lang w:val="en-GB"/>
              </w:rPr>
              <w:t>C</w:t>
            </w:r>
            <w:r w:rsidRPr="00281A1D">
              <w:rPr>
                <w:rFonts w:ascii="Arial" w:hAnsi="Arial" w:cs="Arial"/>
                <w:color w:val="000000" w:themeColor="text1"/>
                <w:lang w:val="en-GB"/>
              </w:rPr>
              <w:t xml:space="preserve">oncerning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and the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and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J</w:t>
            </w:r>
            <w:r w:rsidRPr="00281A1D">
              <w:rPr>
                <w:rFonts w:ascii="Arial" w:hAnsi="Arial" w:cs="Arial"/>
                <w:color w:val="000000" w:themeColor="text1"/>
                <w:lang w:val="en-GB"/>
              </w:rPr>
              <w:t xml:space="preserve">udgments in </w:t>
            </w:r>
            <w:r w:rsidR="007A4108">
              <w:rPr>
                <w:rFonts w:ascii="Arial" w:hAnsi="Arial" w:cs="Arial"/>
                <w:color w:val="000000" w:themeColor="text1"/>
                <w:lang w:val="en-GB"/>
              </w:rPr>
              <w:t>M</w:t>
            </w:r>
            <w:r w:rsidRPr="00281A1D">
              <w:rPr>
                <w:rFonts w:ascii="Arial" w:hAnsi="Arial" w:cs="Arial"/>
                <w:color w:val="000000" w:themeColor="text1"/>
                <w:lang w:val="en-GB"/>
              </w:rPr>
              <w:t xml:space="preserve">atrimonial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and the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of </w:t>
            </w:r>
            <w:r w:rsidR="007A4108">
              <w:rPr>
                <w:rFonts w:ascii="Arial" w:hAnsi="Arial" w:cs="Arial"/>
                <w:color w:val="000000" w:themeColor="text1"/>
                <w:lang w:val="en-GB"/>
              </w:rPr>
              <w:t>P</w:t>
            </w:r>
            <w:r w:rsidRPr="00281A1D">
              <w:rPr>
                <w:rFonts w:ascii="Arial" w:hAnsi="Arial" w:cs="Arial"/>
                <w:color w:val="000000" w:themeColor="text1"/>
                <w:lang w:val="en-GB"/>
              </w:rPr>
              <w:t xml:space="preserve">arental </w:t>
            </w:r>
            <w:r w:rsidR="007A4108">
              <w:rPr>
                <w:rFonts w:ascii="Arial" w:hAnsi="Arial" w:cs="Arial"/>
                <w:color w:val="000000" w:themeColor="text1"/>
                <w:lang w:val="en-GB"/>
              </w:rPr>
              <w:t>R</w:t>
            </w:r>
            <w:r w:rsidRPr="00281A1D">
              <w:rPr>
                <w:rFonts w:ascii="Arial" w:hAnsi="Arial" w:cs="Arial"/>
                <w:color w:val="000000" w:themeColor="text1"/>
                <w:lang w:val="en-GB"/>
              </w:rPr>
              <w:t xml:space="preserve">esponsibility, </w:t>
            </w:r>
            <w:r w:rsidR="007A4108">
              <w:rPr>
                <w:rFonts w:ascii="Arial" w:hAnsi="Arial" w:cs="Arial"/>
                <w:color w:val="000000" w:themeColor="text1"/>
                <w:lang w:val="en-GB"/>
              </w:rPr>
              <w:t>R</w:t>
            </w:r>
            <w:r w:rsidRPr="00281A1D">
              <w:rPr>
                <w:rFonts w:ascii="Arial" w:hAnsi="Arial" w:cs="Arial"/>
                <w:color w:val="000000" w:themeColor="text1"/>
                <w:lang w:val="en-GB"/>
              </w:rPr>
              <w:t>epealing Regulation (EC) No 1347/2000</w:t>
            </w:r>
          </w:p>
        </w:tc>
      </w:tr>
      <w:tr w:rsidR="003A344E" w:rsidRPr="00281A1D" w14:paraId="39DAA2F3" w14:textId="77777777" w:rsidTr="0088408B">
        <w:tc>
          <w:tcPr>
            <w:tcW w:w="3227" w:type="dxa"/>
            <w:shd w:val="clear" w:color="auto" w:fill="auto"/>
          </w:tcPr>
          <w:p w14:paraId="385DB61D" w14:textId="070B6936"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 xml:space="preserve">Brussels II </w:t>
            </w:r>
            <w:proofErr w:type="spellStart"/>
            <w:r w:rsidRPr="00281A1D">
              <w:rPr>
                <w:rFonts w:ascii="Arial" w:hAnsi="Arial" w:cs="Arial"/>
                <w:b/>
                <w:color w:val="000000" w:themeColor="text1"/>
                <w:lang w:val="en-GB"/>
              </w:rPr>
              <w:t>ter</w:t>
            </w:r>
            <w:proofErr w:type="spellEnd"/>
            <w:r w:rsidRPr="00281A1D">
              <w:rPr>
                <w:rFonts w:ascii="Arial" w:hAnsi="Arial" w:cs="Arial"/>
                <w:b/>
                <w:color w:val="000000" w:themeColor="text1"/>
                <w:lang w:val="en-GB"/>
              </w:rPr>
              <w:t xml:space="preserve"> Regulation</w:t>
            </w:r>
          </w:p>
        </w:tc>
        <w:tc>
          <w:tcPr>
            <w:tcW w:w="4819" w:type="dxa"/>
            <w:shd w:val="clear" w:color="auto" w:fill="auto"/>
          </w:tcPr>
          <w:p w14:paraId="7E2057F1" w14:textId="3440E275" w:rsidR="003A344E" w:rsidRPr="00281A1D" w:rsidRDefault="003A344E" w:rsidP="003A344E">
            <w:pPr>
              <w:spacing w:after="120" w:line="240" w:lineRule="auto"/>
              <w:rPr>
                <w:lang w:val="en-GB" w:eastAsia="ar-SA"/>
              </w:rPr>
            </w:pPr>
            <w:r w:rsidRPr="00281A1D">
              <w:rPr>
                <w:rFonts w:ascii="Arial" w:hAnsi="Arial" w:cs="Arial"/>
                <w:color w:val="000000" w:themeColor="text1"/>
                <w:lang w:val="en-GB"/>
              </w:rPr>
              <w:t xml:space="preserve">Council Regulation (EU) 2019/1111 of 25 June 2019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the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and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D</w:t>
            </w:r>
            <w:r w:rsidRPr="00281A1D">
              <w:rPr>
                <w:rFonts w:ascii="Arial" w:hAnsi="Arial" w:cs="Arial"/>
                <w:color w:val="000000" w:themeColor="text1"/>
                <w:lang w:val="en-GB"/>
              </w:rPr>
              <w:t xml:space="preserve">ecisions in </w:t>
            </w:r>
            <w:r w:rsidR="007A4108">
              <w:rPr>
                <w:rFonts w:ascii="Arial" w:hAnsi="Arial" w:cs="Arial"/>
                <w:color w:val="000000" w:themeColor="text1"/>
                <w:lang w:val="en-GB"/>
              </w:rPr>
              <w:t>M</w:t>
            </w:r>
            <w:r w:rsidRPr="00281A1D">
              <w:rPr>
                <w:rFonts w:ascii="Arial" w:hAnsi="Arial" w:cs="Arial"/>
                <w:color w:val="000000" w:themeColor="text1"/>
                <w:lang w:val="en-GB"/>
              </w:rPr>
              <w:t xml:space="preserve">atrimonial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and the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of </w:t>
            </w:r>
            <w:r w:rsidR="007A4108">
              <w:rPr>
                <w:rFonts w:ascii="Arial" w:hAnsi="Arial" w:cs="Arial"/>
                <w:color w:val="000000" w:themeColor="text1"/>
                <w:lang w:val="en-GB"/>
              </w:rPr>
              <w:t>P</w:t>
            </w:r>
            <w:r w:rsidRPr="00281A1D">
              <w:rPr>
                <w:rFonts w:ascii="Arial" w:hAnsi="Arial" w:cs="Arial"/>
                <w:color w:val="000000" w:themeColor="text1"/>
                <w:lang w:val="en-GB"/>
              </w:rPr>
              <w:t xml:space="preserve">arental </w:t>
            </w:r>
            <w:r w:rsidR="007A4108">
              <w:rPr>
                <w:rFonts w:ascii="Arial" w:hAnsi="Arial" w:cs="Arial"/>
                <w:color w:val="000000" w:themeColor="text1"/>
                <w:lang w:val="en-GB"/>
              </w:rPr>
              <w:t>R</w:t>
            </w:r>
            <w:r w:rsidRPr="00281A1D">
              <w:rPr>
                <w:rFonts w:ascii="Arial" w:hAnsi="Arial" w:cs="Arial"/>
                <w:color w:val="000000" w:themeColor="text1"/>
                <w:lang w:val="en-GB"/>
              </w:rPr>
              <w:t xml:space="preserve">esponsibility, and on </w:t>
            </w:r>
            <w:r w:rsidR="007A4108">
              <w:rPr>
                <w:rFonts w:ascii="Arial" w:hAnsi="Arial" w:cs="Arial"/>
                <w:color w:val="000000" w:themeColor="text1"/>
                <w:lang w:val="en-GB"/>
              </w:rPr>
              <w:t>I</w:t>
            </w:r>
            <w:r w:rsidRPr="00281A1D">
              <w:rPr>
                <w:rFonts w:ascii="Arial" w:hAnsi="Arial" w:cs="Arial"/>
                <w:color w:val="000000" w:themeColor="text1"/>
                <w:lang w:val="en-GB"/>
              </w:rPr>
              <w:t xml:space="preserve">nternational </w:t>
            </w:r>
            <w:r w:rsidR="007A4108">
              <w:rPr>
                <w:rFonts w:ascii="Arial" w:hAnsi="Arial" w:cs="Arial"/>
                <w:color w:val="000000" w:themeColor="text1"/>
                <w:lang w:val="en-GB"/>
              </w:rPr>
              <w:t>C</w:t>
            </w:r>
            <w:r w:rsidRPr="00281A1D">
              <w:rPr>
                <w:rFonts w:ascii="Arial" w:hAnsi="Arial" w:cs="Arial"/>
                <w:color w:val="000000" w:themeColor="text1"/>
                <w:lang w:val="en-GB"/>
              </w:rPr>
              <w:t xml:space="preserve">hild </w:t>
            </w:r>
            <w:r w:rsidR="007A4108">
              <w:rPr>
                <w:rFonts w:ascii="Arial" w:hAnsi="Arial" w:cs="Arial"/>
                <w:color w:val="000000" w:themeColor="text1"/>
                <w:lang w:val="en-GB"/>
              </w:rPr>
              <w:t>A</w:t>
            </w:r>
            <w:r w:rsidRPr="00281A1D">
              <w:rPr>
                <w:rFonts w:ascii="Arial" w:hAnsi="Arial" w:cs="Arial"/>
                <w:color w:val="000000" w:themeColor="text1"/>
                <w:lang w:val="en-GB"/>
              </w:rPr>
              <w:t>bduction</w:t>
            </w:r>
          </w:p>
        </w:tc>
      </w:tr>
      <w:tr w:rsidR="00F200D4" w:rsidRPr="00281A1D" w14:paraId="7158B71E" w14:textId="77777777" w:rsidTr="0088408B">
        <w:tc>
          <w:tcPr>
            <w:tcW w:w="3227" w:type="dxa"/>
            <w:shd w:val="clear" w:color="auto" w:fill="auto"/>
          </w:tcPr>
          <w:p w14:paraId="7F895D07" w14:textId="225B24F5" w:rsidR="00F200D4" w:rsidRPr="00281A1D" w:rsidRDefault="00F200D4" w:rsidP="003D2E71">
            <w:pPr>
              <w:spacing w:after="120" w:line="240" w:lineRule="auto"/>
              <w:rPr>
                <w:rFonts w:ascii="Arial" w:hAnsi="Arial" w:cs="Arial"/>
                <w:b/>
                <w:color w:val="000000" w:themeColor="text1"/>
                <w:lang w:val="en-GB"/>
              </w:rPr>
            </w:pPr>
            <w:r w:rsidRPr="00F200D4">
              <w:rPr>
                <w:rFonts w:ascii="Arial" w:hAnsi="Arial" w:cs="Arial"/>
                <w:b/>
                <w:color w:val="000000" w:themeColor="text1"/>
                <w:lang w:val="en-GB"/>
              </w:rPr>
              <w:t>Citizens'</w:t>
            </w:r>
            <w:r>
              <w:rPr>
                <w:rFonts w:ascii="Arial" w:hAnsi="Arial" w:cs="Arial"/>
                <w:b/>
                <w:color w:val="000000" w:themeColor="text1"/>
                <w:lang w:val="en-GB"/>
              </w:rPr>
              <w:t xml:space="preserve"> Rights Directive (or CRD </w:t>
            </w:r>
            <w:r w:rsidR="00E13E79">
              <w:rPr>
                <w:rFonts w:ascii="Arial" w:hAnsi="Arial" w:cs="Arial"/>
                <w:b/>
                <w:color w:val="000000" w:themeColor="text1"/>
                <w:lang w:val="en-GB"/>
              </w:rPr>
              <w:t>/</w:t>
            </w:r>
            <w:r>
              <w:rPr>
                <w:rFonts w:ascii="Arial" w:hAnsi="Arial" w:cs="Arial"/>
                <w:b/>
                <w:color w:val="000000" w:themeColor="text1"/>
                <w:lang w:val="en-GB"/>
              </w:rPr>
              <w:t xml:space="preserve"> Directive 2004/38/EC)</w:t>
            </w:r>
          </w:p>
        </w:tc>
        <w:tc>
          <w:tcPr>
            <w:tcW w:w="4819" w:type="dxa"/>
            <w:shd w:val="clear" w:color="auto" w:fill="auto"/>
          </w:tcPr>
          <w:p w14:paraId="53C2C051" w14:textId="3DDD30B2" w:rsidR="00F200D4" w:rsidRPr="00F200D4" w:rsidRDefault="00F200D4" w:rsidP="00F200D4">
            <w:pPr>
              <w:spacing w:after="120" w:line="240" w:lineRule="auto"/>
              <w:rPr>
                <w:lang w:val="en-GB" w:eastAsia="ar-SA"/>
              </w:rPr>
            </w:pPr>
            <w:r w:rsidRPr="00F200D4">
              <w:rPr>
                <w:rFonts w:ascii="Arial" w:hAnsi="Arial" w:cs="Arial"/>
                <w:color w:val="000000" w:themeColor="text1"/>
                <w:lang w:val="en-GB"/>
              </w:rPr>
              <w:t xml:space="preserve">Directive 2004/38/EC of the European Parliament and of the Council of 29 April 2004 on the </w:t>
            </w:r>
            <w:r w:rsidR="007A4108">
              <w:rPr>
                <w:rFonts w:ascii="Arial" w:hAnsi="Arial" w:cs="Arial"/>
                <w:color w:val="000000" w:themeColor="text1"/>
                <w:lang w:val="en-GB"/>
              </w:rPr>
              <w:t>R</w:t>
            </w:r>
            <w:r w:rsidRPr="00F200D4">
              <w:rPr>
                <w:rFonts w:ascii="Arial" w:hAnsi="Arial" w:cs="Arial"/>
                <w:color w:val="000000" w:themeColor="text1"/>
                <w:lang w:val="en-GB"/>
              </w:rPr>
              <w:t xml:space="preserve">ight of </w:t>
            </w:r>
            <w:r w:rsidR="007A4108">
              <w:rPr>
                <w:rFonts w:ascii="Arial" w:hAnsi="Arial" w:cs="Arial"/>
                <w:color w:val="000000" w:themeColor="text1"/>
                <w:lang w:val="en-GB"/>
              </w:rPr>
              <w:t>C</w:t>
            </w:r>
            <w:r w:rsidRPr="00F200D4">
              <w:rPr>
                <w:rFonts w:ascii="Arial" w:hAnsi="Arial" w:cs="Arial"/>
                <w:color w:val="000000" w:themeColor="text1"/>
                <w:lang w:val="en-GB"/>
              </w:rPr>
              <w:t xml:space="preserve">itizens of the Union and </w:t>
            </w:r>
            <w:r w:rsidR="007A4108">
              <w:rPr>
                <w:rFonts w:ascii="Arial" w:hAnsi="Arial" w:cs="Arial"/>
                <w:color w:val="000000" w:themeColor="text1"/>
                <w:lang w:val="en-GB"/>
              </w:rPr>
              <w:t>T</w:t>
            </w:r>
            <w:r w:rsidRPr="00F200D4">
              <w:rPr>
                <w:rFonts w:ascii="Arial" w:hAnsi="Arial" w:cs="Arial"/>
                <w:color w:val="000000" w:themeColor="text1"/>
                <w:lang w:val="en-GB"/>
              </w:rPr>
              <w:t xml:space="preserve">heir </w:t>
            </w:r>
            <w:r w:rsidR="007A4108">
              <w:rPr>
                <w:rFonts w:ascii="Arial" w:hAnsi="Arial" w:cs="Arial"/>
                <w:color w:val="000000" w:themeColor="text1"/>
                <w:lang w:val="en-GB"/>
              </w:rPr>
              <w:t>F</w:t>
            </w:r>
            <w:r w:rsidRPr="00F200D4">
              <w:rPr>
                <w:rFonts w:ascii="Arial" w:hAnsi="Arial" w:cs="Arial"/>
                <w:color w:val="000000" w:themeColor="text1"/>
                <w:lang w:val="en-GB"/>
              </w:rPr>
              <w:t xml:space="preserve">amily </w:t>
            </w:r>
            <w:r w:rsidR="007A4108">
              <w:rPr>
                <w:rFonts w:ascii="Arial" w:hAnsi="Arial" w:cs="Arial"/>
                <w:color w:val="000000" w:themeColor="text1"/>
                <w:lang w:val="en-GB"/>
              </w:rPr>
              <w:t>M</w:t>
            </w:r>
            <w:r w:rsidRPr="00F200D4">
              <w:rPr>
                <w:rFonts w:ascii="Arial" w:hAnsi="Arial" w:cs="Arial"/>
                <w:color w:val="000000" w:themeColor="text1"/>
                <w:lang w:val="en-GB"/>
              </w:rPr>
              <w:t xml:space="preserve">embers to </w:t>
            </w:r>
            <w:r w:rsidR="007A4108">
              <w:rPr>
                <w:rFonts w:ascii="Arial" w:hAnsi="Arial" w:cs="Arial"/>
                <w:color w:val="000000" w:themeColor="text1"/>
                <w:lang w:val="en-GB"/>
              </w:rPr>
              <w:t>M</w:t>
            </w:r>
            <w:r w:rsidRPr="00F200D4">
              <w:rPr>
                <w:rFonts w:ascii="Arial" w:hAnsi="Arial" w:cs="Arial"/>
                <w:color w:val="000000" w:themeColor="text1"/>
                <w:lang w:val="en-GB"/>
              </w:rPr>
              <w:t xml:space="preserve">ove and </w:t>
            </w:r>
            <w:r w:rsidR="007A4108">
              <w:rPr>
                <w:rFonts w:ascii="Arial" w:hAnsi="Arial" w:cs="Arial"/>
                <w:color w:val="000000" w:themeColor="text1"/>
                <w:lang w:val="en-GB"/>
              </w:rPr>
              <w:t>R</w:t>
            </w:r>
            <w:r w:rsidRPr="00F200D4">
              <w:rPr>
                <w:rFonts w:ascii="Arial" w:hAnsi="Arial" w:cs="Arial"/>
                <w:color w:val="000000" w:themeColor="text1"/>
                <w:lang w:val="en-GB"/>
              </w:rPr>
              <w:t xml:space="preserve">eside </w:t>
            </w:r>
            <w:r w:rsidR="007A4108">
              <w:rPr>
                <w:rFonts w:ascii="Arial" w:hAnsi="Arial" w:cs="Arial"/>
                <w:color w:val="000000" w:themeColor="text1"/>
                <w:lang w:val="en-GB"/>
              </w:rPr>
              <w:t>F</w:t>
            </w:r>
            <w:r w:rsidRPr="00F200D4">
              <w:rPr>
                <w:rFonts w:ascii="Arial" w:hAnsi="Arial" w:cs="Arial"/>
                <w:color w:val="000000" w:themeColor="text1"/>
                <w:lang w:val="en-GB"/>
              </w:rPr>
              <w:t xml:space="preserve">reely </w:t>
            </w:r>
            <w:r w:rsidR="007A4108">
              <w:rPr>
                <w:rFonts w:ascii="Arial" w:hAnsi="Arial" w:cs="Arial"/>
                <w:color w:val="000000" w:themeColor="text1"/>
                <w:lang w:val="en-GB"/>
              </w:rPr>
              <w:t>W</w:t>
            </w:r>
            <w:r w:rsidRPr="00F200D4">
              <w:rPr>
                <w:rFonts w:ascii="Arial" w:hAnsi="Arial" w:cs="Arial"/>
                <w:color w:val="000000" w:themeColor="text1"/>
                <w:lang w:val="en-GB"/>
              </w:rPr>
              <w:t xml:space="preserve">ithin the </w:t>
            </w:r>
            <w:r w:rsidR="007A4108">
              <w:rPr>
                <w:rFonts w:ascii="Arial" w:hAnsi="Arial" w:cs="Arial"/>
                <w:color w:val="000000" w:themeColor="text1"/>
                <w:lang w:val="en-GB"/>
              </w:rPr>
              <w:t>T</w:t>
            </w:r>
            <w:r w:rsidRPr="00F200D4">
              <w:rPr>
                <w:rFonts w:ascii="Arial" w:hAnsi="Arial" w:cs="Arial"/>
                <w:color w:val="000000" w:themeColor="text1"/>
                <w:lang w:val="en-GB"/>
              </w:rPr>
              <w:t>erritory of the Member States</w:t>
            </w:r>
          </w:p>
        </w:tc>
      </w:tr>
      <w:tr w:rsidR="008C22BC" w:rsidRPr="00281A1D" w14:paraId="0494C0C5" w14:textId="77777777" w:rsidTr="0088408B">
        <w:tc>
          <w:tcPr>
            <w:tcW w:w="3227" w:type="dxa"/>
            <w:shd w:val="clear" w:color="auto" w:fill="auto"/>
          </w:tcPr>
          <w:p w14:paraId="7156DE81"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CISG</w:t>
            </w:r>
          </w:p>
        </w:tc>
        <w:tc>
          <w:tcPr>
            <w:tcW w:w="4819" w:type="dxa"/>
            <w:shd w:val="clear" w:color="auto" w:fill="auto"/>
          </w:tcPr>
          <w:p w14:paraId="2CA3021C"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United Nations Convention on Contracts for the International Sale of Goods</w:t>
            </w:r>
          </w:p>
        </w:tc>
      </w:tr>
      <w:tr w:rsidR="008C22BC" w:rsidRPr="00281A1D" w14:paraId="19628378" w14:textId="77777777" w:rsidTr="0088408B">
        <w:tc>
          <w:tcPr>
            <w:tcW w:w="3227" w:type="dxa"/>
            <w:shd w:val="clear" w:color="auto" w:fill="auto"/>
          </w:tcPr>
          <w:p w14:paraId="59B3FBD0"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CJEU</w:t>
            </w:r>
          </w:p>
        </w:tc>
        <w:tc>
          <w:tcPr>
            <w:tcW w:w="4819" w:type="dxa"/>
            <w:shd w:val="clear" w:color="auto" w:fill="auto"/>
          </w:tcPr>
          <w:p w14:paraId="68D047E1"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Court of Justice of the European Union (previously as European Court of Justice)</w:t>
            </w:r>
          </w:p>
        </w:tc>
      </w:tr>
      <w:tr w:rsidR="003A344E" w:rsidRPr="00281A1D" w14:paraId="5D6AFB2C" w14:textId="77777777" w:rsidTr="0088408B">
        <w:tc>
          <w:tcPr>
            <w:tcW w:w="3227" w:type="dxa"/>
            <w:shd w:val="clear" w:color="auto" w:fill="auto"/>
          </w:tcPr>
          <w:p w14:paraId="6446045E" w14:textId="404F570A"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EC</w:t>
            </w:r>
          </w:p>
        </w:tc>
        <w:tc>
          <w:tcPr>
            <w:tcW w:w="4819" w:type="dxa"/>
            <w:shd w:val="clear" w:color="auto" w:fill="auto"/>
          </w:tcPr>
          <w:p w14:paraId="6D22718C" w14:textId="5E9C2624" w:rsidR="003A344E" w:rsidRPr="00281A1D" w:rsidRDefault="003A344E"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European Community</w:t>
            </w:r>
          </w:p>
        </w:tc>
      </w:tr>
      <w:tr w:rsidR="003A344E" w:rsidRPr="00281A1D" w14:paraId="3CB9C2EE" w14:textId="77777777" w:rsidTr="0088408B">
        <w:tc>
          <w:tcPr>
            <w:tcW w:w="3227" w:type="dxa"/>
            <w:shd w:val="clear" w:color="auto" w:fill="auto"/>
          </w:tcPr>
          <w:p w14:paraId="63C16B13" w14:textId="5E40E2D1"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EEC</w:t>
            </w:r>
          </w:p>
        </w:tc>
        <w:tc>
          <w:tcPr>
            <w:tcW w:w="4819" w:type="dxa"/>
            <w:shd w:val="clear" w:color="auto" w:fill="auto"/>
          </w:tcPr>
          <w:p w14:paraId="0E35B051" w14:textId="503B4B57" w:rsidR="003A344E" w:rsidRPr="00281A1D" w:rsidRDefault="003A344E"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European Economic Community</w:t>
            </w:r>
          </w:p>
        </w:tc>
      </w:tr>
      <w:tr w:rsidR="008C22BC" w:rsidRPr="00281A1D" w14:paraId="1B1F43BB" w14:textId="77777777" w:rsidTr="0088408B">
        <w:tc>
          <w:tcPr>
            <w:tcW w:w="3227" w:type="dxa"/>
            <w:shd w:val="clear" w:color="auto" w:fill="auto"/>
          </w:tcPr>
          <w:p w14:paraId="735A4851"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ECtHR</w:t>
            </w:r>
          </w:p>
        </w:tc>
        <w:tc>
          <w:tcPr>
            <w:tcW w:w="4819" w:type="dxa"/>
            <w:shd w:val="clear" w:color="auto" w:fill="auto"/>
          </w:tcPr>
          <w:p w14:paraId="69952E54"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European Court of Human Rights</w:t>
            </w:r>
          </w:p>
        </w:tc>
      </w:tr>
      <w:tr w:rsidR="008C22BC" w:rsidRPr="00281A1D" w14:paraId="219BE2DD" w14:textId="77777777" w:rsidTr="0088408B">
        <w:tc>
          <w:tcPr>
            <w:tcW w:w="3227" w:type="dxa"/>
            <w:shd w:val="clear" w:color="auto" w:fill="auto"/>
          </w:tcPr>
          <w:p w14:paraId="1976100A"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EU</w:t>
            </w:r>
          </w:p>
        </w:tc>
        <w:tc>
          <w:tcPr>
            <w:tcW w:w="4819" w:type="dxa"/>
            <w:shd w:val="clear" w:color="auto" w:fill="auto"/>
          </w:tcPr>
          <w:p w14:paraId="6151FE76"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European Union</w:t>
            </w:r>
          </w:p>
        </w:tc>
      </w:tr>
      <w:tr w:rsidR="00E13E79" w:rsidRPr="00281A1D" w14:paraId="2AFB8FEA" w14:textId="77777777" w:rsidTr="0088408B">
        <w:tc>
          <w:tcPr>
            <w:tcW w:w="3227" w:type="dxa"/>
            <w:shd w:val="clear" w:color="auto" w:fill="auto"/>
          </w:tcPr>
          <w:p w14:paraId="345D8A8E" w14:textId="3040FDC0" w:rsidR="00E13E79" w:rsidRPr="00281A1D" w:rsidRDefault="00E13E79" w:rsidP="003D2E71">
            <w:pPr>
              <w:spacing w:after="120" w:line="240" w:lineRule="auto"/>
              <w:rPr>
                <w:rFonts w:ascii="Arial" w:hAnsi="Arial" w:cs="Arial"/>
                <w:b/>
                <w:color w:val="000000" w:themeColor="text1"/>
                <w:lang w:val="en-GB"/>
              </w:rPr>
            </w:pPr>
            <w:r>
              <w:rPr>
                <w:rFonts w:ascii="Arial" w:hAnsi="Arial" w:cs="Arial"/>
                <w:b/>
                <w:color w:val="000000" w:themeColor="text1"/>
                <w:lang w:val="en-GB"/>
              </w:rPr>
              <w:t>EU Charter of Fundamental Rights</w:t>
            </w:r>
          </w:p>
        </w:tc>
        <w:tc>
          <w:tcPr>
            <w:tcW w:w="4819" w:type="dxa"/>
            <w:shd w:val="clear" w:color="auto" w:fill="auto"/>
          </w:tcPr>
          <w:p w14:paraId="03994BBF" w14:textId="0EBDA30E" w:rsidR="00E13E79" w:rsidRPr="00281A1D" w:rsidRDefault="00E13E79" w:rsidP="003D2E71">
            <w:pPr>
              <w:spacing w:after="120" w:line="240" w:lineRule="auto"/>
              <w:jc w:val="both"/>
              <w:rPr>
                <w:rFonts w:ascii="Arial" w:hAnsi="Arial" w:cs="Arial"/>
                <w:color w:val="000000" w:themeColor="text1"/>
                <w:lang w:val="en-GB"/>
              </w:rPr>
            </w:pPr>
            <w:r>
              <w:rPr>
                <w:rFonts w:ascii="Arial" w:hAnsi="Arial" w:cs="Arial"/>
                <w:color w:val="000000" w:themeColor="text1"/>
                <w:lang w:val="en-GB"/>
              </w:rPr>
              <w:t>Charter of Fundamental Rights of the European Union</w:t>
            </w:r>
          </w:p>
        </w:tc>
      </w:tr>
      <w:tr w:rsidR="00281A1D" w:rsidRPr="00281A1D" w14:paraId="6718A01B" w14:textId="77777777" w:rsidTr="0088408B">
        <w:tc>
          <w:tcPr>
            <w:tcW w:w="3227" w:type="dxa"/>
            <w:shd w:val="clear" w:color="auto" w:fill="auto"/>
          </w:tcPr>
          <w:p w14:paraId="14AB4D56" w14:textId="3A3671D2"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 xml:space="preserve">Hague Protocol on the </w:t>
            </w:r>
            <w:r w:rsidR="00E13E79">
              <w:rPr>
                <w:rFonts w:ascii="Arial" w:hAnsi="Arial" w:cs="Arial"/>
                <w:b/>
                <w:color w:val="000000" w:themeColor="text1"/>
                <w:lang w:val="en-GB"/>
              </w:rPr>
              <w:t>L</w:t>
            </w:r>
            <w:r w:rsidRPr="00281A1D">
              <w:rPr>
                <w:rFonts w:ascii="Arial" w:hAnsi="Arial" w:cs="Arial"/>
                <w:b/>
                <w:color w:val="000000" w:themeColor="text1"/>
                <w:lang w:val="en-GB"/>
              </w:rPr>
              <w:t xml:space="preserve">aw </w:t>
            </w:r>
            <w:r w:rsidR="00E13E79">
              <w:rPr>
                <w:rFonts w:ascii="Arial" w:hAnsi="Arial" w:cs="Arial"/>
                <w:b/>
                <w:color w:val="000000" w:themeColor="text1"/>
                <w:lang w:val="en-GB"/>
              </w:rPr>
              <w:t>A</w:t>
            </w:r>
            <w:r w:rsidRPr="00281A1D">
              <w:rPr>
                <w:rFonts w:ascii="Arial" w:hAnsi="Arial" w:cs="Arial"/>
                <w:b/>
                <w:color w:val="000000" w:themeColor="text1"/>
                <w:lang w:val="en-GB"/>
              </w:rPr>
              <w:t xml:space="preserve">pplicable to </w:t>
            </w:r>
            <w:r w:rsidR="00E13E79">
              <w:rPr>
                <w:rFonts w:ascii="Arial" w:hAnsi="Arial" w:cs="Arial"/>
                <w:b/>
                <w:color w:val="000000" w:themeColor="text1"/>
                <w:lang w:val="en-GB"/>
              </w:rPr>
              <w:t>M</w:t>
            </w:r>
            <w:r w:rsidRPr="00281A1D">
              <w:rPr>
                <w:rFonts w:ascii="Arial" w:hAnsi="Arial" w:cs="Arial"/>
                <w:b/>
                <w:color w:val="000000" w:themeColor="text1"/>
                <w:lang w:val="en-GB"/>
              </w:rPr>
              <w:t xml:space="preserve">aintenance </w:t>
            </w:r>
            <w:r w:rsidR="00E13E79">
              <w:rPr>
                <w:rFonts w:ascii="Arial" w:hAnsi="Arial" w:cs="Arial"/>
                <w:b/>
                <w:color w:val="000000" w:themeColor="text1"/>
                <w:lang w:val="en-GB"/>
              </w:rPr>
              <w:t>O</w:t>
            </w:r>
            <w:r w:rsidRPr="00281A1D">
              <w:rPr>
                <w:rFonts w:ascii="Arial" w:hAnsi="Arial" w:cs="Arial"/>
                <w:b/>
                <w:color w:val="000000" w:themeColor="text1"/>
                <w:lang w:val="en-GB"/>
              </w:rPr>
              <w:t>bligations</w:t>
            </w:r>
          </w:p>
        </w:tc>
        <w:tc>
          <w:tcPr>
            <w:tcW w:w="4819" w:type="dxa"/>
            <w:shd w:val="clear" w:color="auto" w:fill="auto"/>
          </w:tcPr>
          <w:p w14:paraId="36DB8854" w14:textId="5259214F" w:rsidR="00281A1D" w:rsidRPr="00281A1D" w:rsidRDefault="00281A1D" w:rsidP="00281A1D">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Protocol of 23 November 2007 on the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to </w:t>
            </w:r>
            <w:r w:rsidR="007A4108">
              <w:rPr>
                <w:rFonts w:ascii="Arial" w:hAnsi="Arial" w:cs="Arial"/>
                <w:color w:val="000000" w:themeColor="text1"/>
                <w:lang w:val="en-GB"/>
              </w:rPr>
              <w:t>M</w:t>
            </w:r>
            <w:r w:rsidRPr="00281A1D">
              <w:rPr>
                <w:rFonts w:ascii="Arial" w:hAnsi="Arial" w:cs="Arial"/>
                <w:color w:val="000000" w:themeColor="text1"/>
                <w:lang w:val="en-GB"/>
              </w:rPr>
              <w:t xml:space="preserve">aintenance </w:t>
            </w:r>
            <w:r w:rsidR="007A4108">
              <w:rPr>
                <w:rFonts w:ascii="Arial" w:hAnsi="Arial" w:cs="Arial"/>
                <w:color w:val="000000" w:themeColor="text1"/>
                <w:lang w:val="en-GB"/>
              </w:rPr>
              <w:t>O</w:t>
            </w:r>
            <w:r w:rsidRPr="00281A1D">
              <w:rPr>
                <w:rFonts w:ascii="Arial" w:hAnsi="Arial" w:cs="Arial"/>
                <w:color w:val="000000" w:themeColor="text1"/>
                <w:lang w:val="en-GB"/>
              </w:rPr>
              <w:t>bligations</w:t>
            </w:r>
          </w:p>
          <w:p w14:paraId="0AC29D49" w14:textId="77777777" w:rsidR="00281A1D" w:rsidRPr="00281A1D" w:rsidRDefault="00281A1D" w:rsidP="003D2E71">
            <w:pPr>
              <w:spacing w:after="120" w:line="240" w:lineRule="auto"/>
              <w:jc w:val="both"/>
              <w:rPr>
                <w:rFonts w:ascii="Arial" w:hAnsi="Arial" w:cs="Arial"/>
                <w:color w:val="000000" w:themeColor="text1"/>
                <w:lang w:val="en-GB"/>
              </w:rPr>
            </w:pPr>
          </w:p>
        </w:tc>
      </w:tr>
      <w:tr w:rsidR="00281A1D" w:rsidRPr="00281A1D" w14:paraId="54FE6F4D" w14:textId="77777777" w:rsidTr="0088408B">
        <w:tc>
          <w:tcPr>
            <w:tcW w:w="3227" w:type="dxa"/>
            <w:shd w:val="clear" w:color="auto" w:fill="auto"/>
          </w:tcPr>
          <w:p w14:paraId="11612144" w14:textId="30221FA4"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HCCH</w:t>
            </w:r>
          </w:p>
        </w:tc>
        <w:tc>
          <w:tcPr>
            <w:tcW w:w="4819" w:type="dxa"/>
            <w:shd w:val="clear" w:color="auto" w:fill="auto"/>
          </w:tcPr>
          <w:p w14:paraId="5645F615" w14:textId="79BEAE99" w:rsidR="00281A1D" w:rsidRPr="00281A1D" w:rsidRDefault="00281A1D" w:rsidP="00281A1D">
            <w:pPr>
              <w:spacing w:after="120" w:line="240" w:lineRule="auto"/>
              <w:rPr>
                <w:lang w:val="en-GB"/>
              </w:rPr>
            </w:pPr>
            <w:r w:rsidRPr="00281A1D">
              <w:rPr>
                <w:rFonts w:ascii="Arial" w:hAnsi="Arial" w:cs="Arial"/>
                <w:color w:val="000000" w:themeColor="text1"/>
                <w:lang w:val="en-GB"/>
              </w:rPr>
              <w:t>Hague Conference on Private International Law</w:t>
            </w:r>
          </w:p>
        </w:tc>
      </w:tr>
      <w:tr w:rsidR="008C22BC" w:rsidRPr="00281A1D" w14:paraId="076CD1E1" w14:textId="77777777" w:rsidTr="0088408B">
        <w:tc>
          <w:tcPr>
            <w:tcW w:w="3227" w:type="dxa"/>
            <w:shd w:val="clear" w:color="auto" w:fill="auto"/>
          </w:tcPr>
          <w:p w14:paraId="60DAF178"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ICC</w:t>
            </w:r>
          </w:p>
        </w:tc>
        <w:tc>
          <w:tcPr>
            <w:tcW w:w="4819" w:type="dxa"/>
            <w:shd w:val="clear" w:color="auto" w:fill="auto"/>
          </w:tcPr>
          <w:p w14:paraId="4A6E602F"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International Chamber of Commerce</w:t>
            </w:r>
          </w:p>
        </w:tc>
      </w:tr>
      <w:tr w:rsidR="008C22BC" w:rsidRPr="00281A1D" w14:paraId="74941765" w14:textId="77777777" w:rsidTr="0088408B">
        <w:tc>
          <w:tcPr>
            <w:tcW w:w="3227" w:type="dxa"/>
            <w:shd w:val="clear" w:color="auto" w:fill="auto"/>
          </w:tcPr>
          <w:p w14:paraId="74BC604E"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ICJ</w:t>
            </w:r>
          </w:p>
        </w:tc>
        <w:tc>
          <w:tcPr>
            <w:tcW w:w="4819" w:type="dxa"/>
            <w:shd w:val="clear" w:color="auto" w:fill="auto"/>
          </w:tcPr>
          <w:p w14:paraId="79C779AF"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International Court of Justice</w:t>
            </w:r>
          </w:p>
        </w:tc>
      </w:tr>
      <w:tr w:rsidR="008C22BC" w:rsidRPr="00281A1D" w14:paraId="26B983F8" w14:textId="77777777" w:rsidTr="0088408B">
        <w:tc>
          <w:tcPr>
            <w:tcW w:w="3227" w:type="dxa"/>
            <w:shd w:val="clear" w:color="auto" w:fill="auto"/>
          </w:tcPr>
          <w:p w14:paraId="2E0FAF00"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ICSID</w:t>
            </w:r>
          </w:p>
        </w:tc>
        <w:tc>
          <w:tcPr>
            <w:tcW w:w="4819" w:type="dxa"/>
            <w:shd w:val="clear" w:color="auto" w:fill="auto"/>
          </w:tcPr>
          <w:p w14:paraId="2AB96DE4" w14:textId="77777777" w:rsidR="008C22BC" w:rsidRPr="00281A1D" w:rsidRDefault="008C22BC"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International Centre for Settlement of Investment Disputes</w:t>
            </w:r>
          </w:p>
        </w:tc>
      </w:tr>
      <w:tr w:rsidR="00281A1D" w:rsidRPr="00281A1D" w14:paraId="1A95575D" w14:textId="77777777" w:rsidTr="0088408B">
        <w:tc>
          <w:tcPr>
            <w:tcW w:w="3227" w:type="dxa"/>
            <w:shd w:val="clear" w:color="auto" w:fill="auto"/>
          </w:tcPr>
          <w:p w14:paraId="5AC4EDD5" w14:textId="6E4542E7"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Maintenance Regulation</w:t>
            </w:r>
          </w:p>
        </w:tc>
        <w:tc>
          <w:tcPr>
            <w:tcW w:w="4819" w:type="dxa"/>
            <w:shd w:val="clear" w:color="auto" w:fill="auto"/>
          </w:tcPr>
          <w:p w14:paraId="4FE4E0EA" w14:textId="778DDA88" w:rsidR="00281A1D" w:rsidRPr="00281A1D" w:rsidRDefault="00281A1D" w:rsidP="00281A1D">
            <w:pPr>
              <w:spacing w:after="120" w:line="240" w:lineRule="auto"/>
              <w:rPr>
                <w:lang w:val="en-GB"/>
              </w:rPr>
            </w:pPr>
            <w:r w:rsidRPr="00281A1D">
              <w:rPr>
                <w:rFonts w:ascii="Arial" w:hAnsi="Arial" w:cs="Arial"/>
                <w:color w:val="000000" w:themeColor="text1"/>
                <w:lang w:val="en-GB"/>
              </w:rPr>
              <w:t xml:space="preserve">Council Regulation (EC) No 4/2009 of 18 December 2008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and </w:t>
            </w:r>
            <w:r w:rsidR="007A4108">
              <w:rPr>
                <w:rFonts w:ascii="Arial" w:hAnsi="Arial" w:cs="Arial"/>
                <w:color w:val="000000" w:themeColor="text1"/>
                <w:lang w:val="en-GB"/>
              </w:rPr>
              <w:t>E</w:t>
            </w:r>
            <w:r w:rsidRPr="00281A1D">
              <w:rPr>
                <w:rFonts w:ascii="Arial" w:hAnsi="Arial" w:cs="Arial"/>
                <w:color w:val="000000" w:themeColor="text1"/>
                <w:lang w:val="en-GB"/>
              </w:rPr>
              <w:t xml:space="preserve">nforcement of </w:t>
            </w:r>
            <w:r w:rsidR="007A4108">
              <w:rPr>
                <w:rFonts w:ascii="Arial" w:hAnsi="Arial" w:cs="Arial"/>
                <w:color w:val="000000" w:themeColor="text1"/>
                <w:lang w:val="en-GB"/>
              </w:rPr>
              <w:t>D</w:t>
            </w:r>
            <w:r w:rsidRPr="00281A1D">
              <w:rPr>
                <w:rFonts w:ascii="Arial" w:hAnsi="Arial" w:cs="Arial"/>
                <w:color w:val="000000" w:themeColor="text1"/>
                <w:lang w:val="en-GB"/>
              </w:rPr>
              <w:t xml:space="preserve">ecisions and </w:t>
            </w:r>
            <w:r w:rsidR="007A4108">
              <w:rPr>
                <w:rFonts w:ascii="Arial" w:hAnsi="Arial" w:cs="Arial"/>
                <w:color w:val="000000" w:themeColor="text1"/>
                <w:lang w:val="en-GB"/>
              </w:rPr>
              <w:t>C</w:t>
            </w:r>
            <w:r w:rsidRPr="00281A1D">
              <w:rPr>
                <w:rFonts w:ascii="Arial" w:hAnsi="Arial" w:cs="Arial"/>
                <w:color w:val="000000" w:themeColor="text1"/>
                <w:lang w:val="en-GB"/>
              </w:rPr>
              <w:t xml:space="preserve">ooperation in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w:t>
            </w:r>
            <w:r w:rsidR="007A4108">
              <w:rPr>
                <w:rFonts w:ascii="Arial" w:hAnsi="Arial" w:cs="Arial"/>
                <w:color w:val="000000" w:themeColor="text1"/>
                <w:lang w:val="en-GB"/>
              </w:rPr>
              <w:t>R</w:t>
            </w:r>
            <w:r w:rsidRPr="00281A1D">
              <w:rPr>
                <w:rFonts w:ascii="Arial" w:hAnsi="Arial" w:cs="Arial"/>
                <w:color w:val="000000" w:themeColor="text1"/>
                <w:lang w:val="en-GB"/>
              </w:rPr>
              <w:t xml:space="preserve">elating to </w:t>
            </w:r>
            <w:r w:rsidR="007A4108">
              <w:rPr>
                <w:rFonts w:ascii="Arial" w:hAnsi="Arial" w:cs="Arial"/>
                <w:color w:val="000000" w:themeColor="text1"/>
                <w:lang w:val="en-GB"/>
              </w:rPr>
              <w:t>M</w:t>
            </w:r>
            <w:r w:rsidRPr="00281A1D">
              <w:rPr>
                <w:rFonts w:ascii="Arial" w:hAnsi="Arial" w:cs="Arial"/>
                <w:color w:val="000000" w:themeColor="text1"/>
                <w:lang w:val="en-GB"/>
              </w:rPr>
              <w:t xml:space="preserve">aintenance </w:t>
            </w:r>
            <w:r w:rsidR="007A4108">
              <w:rPr>
                <w:rFonts w:ascii="Arial" w:hAnsi="Arial" w:cs="Arial"/>
                <w:color w:val="000000" w:themeColor="text1"/>
                <w:lang w:val="en-GB"/>
              </w:rPr>
              <w:t>O</w:t>
            </w:r>
            <w:r w:rsidRPr="00281A1D">
              <w:rPr>
                <w:rFonts w:ascii="Arial" w:hAnsi="Arial" w:cs="Arial"/>
                <w:color w:val="000000" w:themeColor="text1"/>
                <w:lang w:val="en-GB"/>
              </w:rPr>
              <w:t>bligations</w:t>
            </w:r>
          </w:p>
        </w:tc>
      </w:tr>
      <w:tr w:rsidR="008C22BC" w:rsidRPr="00281A1D" w14:paraId="531968F4" w14:textId="77777777" w:rsidTr="0088408B">
        <w:tc>
          <w:tcPr>
            <w:tcW w:w="3227" w:type="dxa"/>
            <w:shd w:val="clear" w:color="auto" w:fill="auto"/>
          </w:tcPr>
          <w:p w14:paraId="2A209BD1" w14:textId="0888BC1A" w:rsidR="008C22BC"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no.</w:t>
            </w:r>
          </w:p>
        </w:tc>
        <w:tc>
          <w:tcPr>
            <w:tcW w:w="4819" w:type="dxa"/>
            <w:shd w:val="clear" w:color="auto" w:fill="auto"/>
          </w:tcPr>
          <w:p w14:paraId="4006773E"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Number</w:t>
            </w:r>
          </w:p>
        </w:tc>
      </w:tr>
      <w:tr w:rsidR="008C22BC" w:rsidRPr="00281A1D" w14:paraId="63FBDA5E" w14:textId="77777777" w:rsidTr="0088408B">
        <w:tc>
          <w:tcPr>
            <w:tcW w:w="3227" w:type="dxa"/>
            <w:shd w:val="clear" w:color="auto" w:fill="auto"/>
          </w:tcPr>
          <w:p w14:paraId="10DC33E8"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NYC / New York Convention</w:t>
            </w:r>
          </w:p>
        </w:tc>
        <w:tc>
          <w:tcPr>
            <w:tcW w:w="4819" w:type="dxa"/>
            <w:shd w:val="clear" w:color="auto" w:fill="auto"/>
          </w:tcPr>
          <w:p w14:paraId="6AC007E5" w14:textId="4E183546" w:rsidR="008C22BC" w:rsidRPr="00281A1D" w:rsidRDefault="008C22BC"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United Nations Convention on the Recognition and Enforcement of Foreign Arbitral Awards</w:t>
            </w:r>
          </w:p>
        </w:tc>
      </w:tr>
      <w:tr w:rsidR="008C22BC" w:rsidRPr="00281A1D" w14:paraId="13C659F1" w14:textId="77777777" w:rsidTr="0088408B">
        <w:tc>
          <w:tcPr>
            <w:tcW w:w="3227" w:type="dxa"/>
            <w:shd w:val="clear" w:color="auto" w:fill="auto"/>
          </w:tcPr>
          <w:p w14:paraId="1AC92932"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p. / pp.</w:t>
            </w:r>
          </w:p>
        </w:tc>
        <w:tc>
          <w:tcPr>
            <w:tcW w:w="4819" w:type="dxa"/>
            <w:shd w:val="clear" w:color="auto" w:fill="auto"/>
          </w:tcPr>
          <w:p w14:paraId="323E1C09" w14:textId="77777777" w:rsidR="008C22BC" w:rsidRPr="00281A1D" w:rsidRDefault="008C22BC"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Page / Pages</w:t>
            </w:r>
          </w:p>
        </w:tc>
      </w:tr>
      <w:tr w:rsidR="008C22BC" w:rsidRPr="00281A1D" w14:paraId="03DD5929" w14:textId="77777777" w:rsidTr="0088408B">
        <w:tc>
          <w:tcPr>
            <w:tcW w:w="3227" w:type="dxa"/>
            <w:shd w:val="clear" w:color="auto" w:fill="auto"/>
          </w:tcPr>
          <w:p w14:paraId="3B752FC5" w14:textId="1F0B4ABF"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lastRenderedPageBreak/>
              <w:t>para.</w:t>
            </w:r>
          </w:p>
        </w:tc>
        <w:tc>
          <w:tcPr>
            <w:tcW w:w="4819" w:type="dxa"/>
            <w:shd w:val="clear" w:color="auto" w:fill="auto"/>
          </w:tcPr>
          <w:p w14:paraId="19B65B68"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Paragraph / Paragraphs</w:t>
            </w:r>
          </w:p>
        </w:tc>
      </w:tr>
      <w:tr w:rsidR="00281A1D" w:rsidRPr="00281A1D" w14:paraId="035E6A63" w14:textId="77777777" w:rsidTr="0088408B">
        <w:tc>
          <w:tcPr>
            <w:tcW w:w="3227" w:type="dxa"/>
            <w:shd w:val="clear" w:color="auto" w:fill="auto"/>
          </w:tcPr>
          <w:p w14:paraId="5066C6AF" w14:textId="1D7E36FD"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Parenthood Proposal Regulation</w:t>
            </w:r>
          </w:p>
        </w:tc>
        <w:tc>
          <w:tcPr>
            <w:tcW w:w="4819" w:type="dxa"/>
            <w:shd w:val="clear" w:color="auto" w:fill="auto"/>
          </w:tcPr>
          <w:p w14:paraId="11E117E5" w14:textId="695A8B54" w:rsidR="00281A1D" w:rsidRPr="00281A1D" w:rsidRDefault="00281A1D" w:rsidP="00281A1D">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 xml:space="preserve">Proposal for a Council </w:t>
            </w:r>
            <w:r w:rsidR="007A4108">
              <w:rPr>
                <w:rFonts w:ascii="Arial" w:hAnsi="Arial" w:cs="Arial"/>
                <w:color w:val="000000" w:themeColor="text1"/>
                <w:lang w:val="en-GB"/>
              </w:rPr>
              <w:t>R</w:t>
            </w:r>
            <w:r w:rsidRPr="00281A1D">
              <w:rPr>
                <w:rFonts w:ascii="Arial" w:hAnsi="Arial" w:cs="Arial"/>
                <w:color w:val="000000" w:themeColor="text1"/>
                <w:lang w:val="en-GB"/>
              </w:rPr>
              <w:t xml:space="preserve">egulation on </w:t>
            </w:r>
            <w:r w:rsidR="007A4108">
              <w:rPr>
                <w:rFonts w:ascii="Arial" w:hAnsi="Arial" w:cs="Arial"/>
                <w:color w:val="000000" w:themeColor="text1"/>
                <w:lang w:val="en-GB"/>
              </w:rPr>
              <w:t>J</w:t>
            </w:r>
            <w:r w:rsidRPr="00281A1D">
              <w:rPr>
                <w:rFonts w:ascii="Arial" w:hAnsi="Arial" w:cs="Arial"/>
                <w:color w:val="000000" w:themeColor="text1"/>
                <w:lang w:val="en-GB"/>
              </w:rPr>
              <w:t xml:space="preserve">urisdiction,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R</w:t>
            </w:r>
            <w:r w:rsidRPr="00281A1D">
              <w:rPr>
                <w:rFonts w:ascii="Arial" w:hAnsi="Arial" w:cs="Arial"/>
                <w:color w:val="000000" w:themeColor="text1"/>
                <w:lang w:val="en-GB"/>
              </w:rPr>
              <w:t xml:space="preserve">ecognition of </w:t>
            </w:r>
            <w:r w:rsidR="007A4108">
              <w:rPr>
                <w:rFonts w:ascii="Arial" w:hAnsi="Arial" w:cs="Arial"/>
                <w:color w:val="000000" w:themeColor="text1"/>
                <w:lang w:val="en-GB"/>
              </w:rPr>
              <w:t>D</w:t>
            </w:r>
            <w:r w:rsidRPr="00281A1D">
              <w:rPr>
                <w:rFonts w:ascii="Arial" w:hAnsi="Arial" w:cs="Arial"/>
                <w:color w:val="000000" w:themeColor="text1"/>
                <w:lang w:val="en-GB"/>
              </w:rPr>
              <w:t xml:space="preserve">ecisions and </w:t>
            </w:r>
            <w:r w:rsidR="007A4108">
              <w:rPr>
                <w:rFonts w:ascii="Arial" w:hAnsi="Arial" w:cs="Arial"/>
                <w:color w:val="000000" w:themeColor="text1"/>
                <w:lang w:val="en-GB"/>
              </w:rPr>
              <w:t>A</w:t>
            </w:r>
            <w:r w:rsidRPr="00281A1D">
              <w:rPr>
                <w:rFonts w:ascii="Arial" w:hAnsi="Arial" w:cs="Arial"/>
                <w:color w:val="000000" w:themeColor="text1"/>
                <w:lang w:val="en-GB"/>
              </w:rPr>
              <w:t xml:space="preserve">cceptance of </w:t>
            </w:r>
            <w:r w:rsidR="007A4108">
              <w:rPr>
                <w:rFonts w:ascii="Arial" w:hAnsi="Arial" w:cs="Arial"/>
                <w:color w:val="000000" w:themeColor="text1"/>
                <w:lang w:val="en-GB"/>
              </w:rPr>
              <w:t>A</w:t>
            </w:r>
            <w:r w:rsidRPr="00281A1D">
              <w:rPr>
                <w:rFonts w:ascii="Arial" w:hAnsi="Arial" w:cs="Arial"/>
                <w:color w:val="000000" w:themeColor="text1"/>
                <w:lang w:val="en-GB"/>
              </w:rPr>
              <w:t xml:space="preserve">uthentic </w:t>
            </w:r>
            <w:r w:rsidR="007A4108">
              <w:rPr>
                <w:rFonts w:ascii="Arial" w:hAnsi="Arial" w:cs="Arial"/>
                <w:color w:val="000000" w:themeColor="text1"/>
                <w:lang w:val="en-GB"/>
              </w:rPr>
              <w:t>I</w:t>
            </w:r>
            <w:r w:rsidRPr="00281A1D">
              <w:rPr>
                <w:rFonts w:ascii="Arial" w:hAnsi="Arial" w:cs="Arial"/>
                <w:color w:val="000000" w:themeColor="text1"/>
                <w:lang w:val="en-GB"/>
              </w:rPr>
              <w:t xml:space="preserve">nstruments in </w:t>
            </w:r>
            <w:r w:rsidR="007A4108">
              <w:rPr>
                <w:rFonts w:ascii="Arial" w:hAnsi="Arial" w:cs="Arial"/>
                <w:color w:val="000000" w:themeColor="text1"/>
                <w:lang w:val="en-GB"/>
              </w:rPr>
              <w:t>M</w:t>
            </w:r>
            <w:r w:rsidRPr="00281A1D">
              <w:rPr>
                <w:rFonts w:ascii="Arial" w:hAnsi="Arial" w:cs="Arial"/>
                <w:color w:val="000000" w:themeColor="text1"/>
                <w:lang w:val="en-GB"/>
              </w:rPr>
              <w:t xml:space="preserve">atters of </w:t>
            </w:r>
            <w:r w:rsidR="007A4108">
              <w:rPr>
                <w:rFonts w:ascii="Arial" w:hAnsi="Arial" w:cs="Arial"/>
                <w:color w:val="000000" w:themeColor="text1"/>
                <w:lang w:val="en-GB"/>
              </w:rPr>
              <w:t>P</w:t>
            </w:r>
            <w:r w:rsidRPr="00281A1D">
              <w:rPr>
                <w:rFonts w:ascii="Arial" w:hAnsi="Arial" w:cs="Arial"/>
                <w:color w:val="000000" w:themeColor="text1"/>
                <w:lang w:val="en-GB"/>
              </w:rPr>
              <w:t xml:space="preserve">arenthood and on the </w:t>
            </w:r>
            <w:r w:rsidR="007A4108">
              <w:rPr>
                <w:rFonts w:ascii="Arial" w:hAnsi="Arial" w:cs="Arial"/>
                <w:color w:val="000000" w:themeColor="text1"/>
                <w:lang w:val="en-GB"/>
              </w:rPr>
              <w:t>C</w:t>
            </w:r>
            <w:r w:rsidRPr="00281A1D">
              <w:rPr>
                <w:rFonts w:ascii="Arial" w:hAnsi="Arial" w:cs="Arial"/>
                <w:color w:val="000000" w:themeColor="text1"/>
                <w:lang w:val="en-GB"/>
              </w:rPr>
              <w:t>reation of a European Certificate of Parenthood</w:t>
            </w:r>
          </w:p>
        </w:tc>
      </w:tr>
      <w:tr w:rsidR="00281A1D" w:rsidRPr="00281A1D" w14:paraId="6F66F987" w14:textId="77777777" w:rsidTr="0088408B">
        <w:tc>
          <w:tcPr>
            <w:tcW w:w="3227" w:type="dxa"/>
            <w:shd w:val="clear" w:color="auto" w:fill="auto"/>
          </w:tcPr>
          <w:p w14:paraId="63E220EE" w14:textId="35DA9949"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Rome Convention</w:t>
            </w:r>
          </w:p>
        </w:tc>
        <w:tc>
          <w:tcPr>
            <w:tcW w:w="4819" w:type="dxa"/>
            <w:shd w:val="clear" w:color="auto" w:fill="auto"/>
          </w:tcPr>
          <w:p w14:paraId="7516311C" w14:textId="15DF8131" w:rsidR="00281A1D" w:rsidRPr="00281A1D" w:rsidRDefault="00281A1D"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Convention of 19 June 1980 on the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to </w:t>
            </w:r>
            <w:r w:rsidR="007A4108">
              <w:rPr>
                <w:rFonts w:ascii="Arial" w:hAnsi="Arial" w:cs="Arial"/>
                <w:color w:val="000000" w:themeColor="text1"/>
                <w:lang w:val="en-GB"/>
              </w:rPr>
              <w:t>C</w:t>
            </w:r>
            <w:r w:rsidRPr="00281A1D">
              <w:rPr>
                <w:rFonts w:ascii="Arial" w:hAnsi="Arial" w:cs="Arial"/>
                <w:color w:val="000000" w:themeColor="text1"/>
                <w:lang w:val="en-GB"/>
              </w:rPr>
              <w:t xml:space="preserve">ontractual </w:t>
            </w:r>
            <w:r w:rsidR="007A4108">
              <w:rPr>
                <w:rFonts w:ascii="Arial" w:hAnsi="Arial" w:cs="Arial"/>
                <w:color w:val="000000" w:themeColor="text1"/>
                <w:lang w:val="en-GB"/>
              </w:rPr>
              <w:t>O</w:t>
            </w:r>
            <w:r w:rsidRPr="00281A1D">
              <w:rPr>
                <w:rFonts w:ascii="Arial" w:hAnsi="Arial" w:cs="Arial"/>
                <w:color w:val="000000" w:themeColor="text1"/>
                <w:lang w:val="en-GB"/>
              </w:rPr>
              <w:t>bligations</w:t>
            </w:r>
          </w:p>
        </w:tc>
      </w:tr>
      <w:tr w:rsidR="00281A1D" w:rsidRPr="00281A1D" w14:paraId="5FD6CBE2" w14:textId="77777777" w:rsidTr="0088408B">
        <w:tc>
          <w:tcPr>
            <w:tcW w:w="3227" w:type="dxa"/>
            <w:shd w:val="clear" w:color="auto" w:fill="auto"/>
          </w:tcPr>
          <w:p w14:paraId="6F7DC1FB" w14:textId="078829C2"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Rome I Regulation</w:t>
            </w:r>
          </w:p>
        </w:tc>
        <w:tc>
          <w:tcPr>
            <w:tcW w:w="4819" w:type="dxa"/>
            <w:shd w:val="clear" w:color="auto" w:fill="auto"/>
          </w:tcPr>
          <w:p w14:paraId="4687B926" w14:textId="2A04259C" w:rsidR="00281A1D" w:rsidRPr="00281A1D" w:rsidRDefault="00281A1D"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Regulation (EC) No 593/2008 of the European Parliament and of the Council of 17 June 2008 on the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to </w:t>
            </w:r>
            <w:r w:rsidR="007A4108">
              <w:rPr>
                <w:rFonts w:ascii="Arial" w:hAnsi="Arial" w:cs="Arial"/>
                <w:color w:val="000000" w:themeColor="text1"/>
                <w:lang w:val="en-GB"/>
              </w:rPr>
              <w:t>C</w:t>
            </w:r>
            <w:r w:rsidRPr="00281A1D">
              <w:rPr>
                <w:rFonts w:ascii="Arial" w:hAnsi="Arial" w:cs="Arial"/>
                <w:color w:val="000000" w:themeColor="text1"/>
                <w:lang w:val="en-GB"/>
              </w:rPr>
              <w:t xml:space="preserve">ontractual </w:t>
            </w:r>
            <w:r w:rsidR="007A4108">
              <w:rPr>
                <w:rFonts w:ascii="Arial" w:hAnsi="Arial" w:cs="Arial"/>
                <w:color w:val="000000" w:themeColor="text1"/>
                <w:lang w:val="en-GB"/>
              </w:rPr>
              <w:t>O</w:t>
            </w:r>
            <w:r w:rsidRPr="00281A1D">
              <w:rPr>
                <w:rFonts w:ascii="Arial" w:hAnsi="Arial" w:cs="Arial"/>
                <w:color w:val="000000" w:themeColor="text1"/>
                <w:lang w:val="en-GB"/>
              </w:rPr>
              <w:t>bligations</w:t>
            </w:r>
          </w:p>
        </w:tc>
      </w:tr>
      <w:tr w:rsidR="00281A1D" w:rsidRPr="00281A1D" w14:paraId="46C84458" w14:textId="77777777" w:rsidTr="0088408B">
        <w:tc>
          <w:tcPr>
            <w:tcW w:w="3227" w:type="dxa"/>
            <w:shd w:val="clear" w:color="auto" w:fill="auto"/>
          </w:tcPr>
          <w:p w14:paraId="73687FF1" w14:textId="0BDEB336"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Rome II Regulation</w:t>
            </w:r>
          </w:p>
        </w:tc>
        <w:tc>
          <w:tcPr>
            <w:tcW w:w="4819" w:type="dxa"/>
            <w:shd w:val="clear" w:color="auto" w:fill="auto"/>
          </w:tcPr>
          <w:p w14:paraId="0B012A81" w14:textId="650D6277" w:rsidR="00281A1D" w:rsidRPr="00281A1D" w:rsidRDefault="00281A1D"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Regulation (EC) No 864/2007 of the European Parliament and of the Council of 11 July 2007 on the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to </w:t>
            </w:r>
            <w:r w:rsidR="007A4108">
              <w:rPr>
                <w:rFonts w:ascii="Arial" w:hAnsi="Arial" w:cs="Arial"/>
                <w:color w:val="000000" w:themeColor="text1"/>
                <w:lang w:val="en-GB"/>
              </w:rPr>
              <w:t>N</w:t>
            </w:r>
            <w:r w:rsidRPr="00281A1D">
              <w:rPr>
                <w:rFonts w:ascii="Arial" w:hAnsi="Arial" w:cs="Arial"/>
                <w:color w:val="000000" w:themeColor="text1"/>
                <w:lang w:val="en-GB"/>
              </w:rPr>
              <w:t>on-</w:t>
            </w:r>
            <w:r w:rsidR="007A4108">
              <w:rPr>
                <w:rFonts w:ascii="Arial" w:hAnsi="Arial" w:cs="Arial"/>
                <w:color w:val="000000" w:themeColor="text1"/>
                <w:lang w:val="en-GB"/>
              </w:rPr>
              <w:t>c</w:t>
            </w:r>
            <w:r w:rsidRPr="00281A1D">
              <w:rPr>
                <w:rFonts w:ascii="Arial" w:hAnsi="Arial" w:cs="Arial"/>
                <w:color w:val="000000" w:themeColor="text1"/>
                <w:lang w:val="en-GB"/>
              </w:rPr>
              <w:t xml:space="preserve">ontractual </w:t>
            </w:r>
            <w:r w:rsidR="007A4108">
              <w:rPr>
                <w:rFonts w:ascii="Arial" w:hAnsi="Arial" w:cs="Arial"/>
                <w:color w:val="000000" w:themeColor="text1"/>
                <w:lang w:val="en-GB"/>
              </w:rPr>
              <w:t>O</w:t>
            </w:r>
            <w:r w:rsidRPr="00281A1D">
              <w:rPr>
                <w:rFonts w:ascii="Arial" w:hAnsi="Arial" w:cs="Arial"/>
                <w:color w:val="000000" w:themeColor="text1"/>
                <w:lang w:val="en-GB"/>
              </w:rPr>
              <w:t>bligations</w:t>
            </w:r>
          </w:p>
        </w:tc>
      </w:tr>
      <w:tr w:rsidR="00281A1D" w:rsidRPr="00281A1D" w14:paraId="55FC784F" w14:textId="77777777" w:rsidTr="0088408B">
        <w:tc>
          <w:tcPr>
            <w:tcW w:w="3227" w:type="dxa"/>
            <w:shd w:val="clear" w:color="auto" w:fill="auto"/>
          </w:tcPr>
          <w:p w14:paraId="6F2E04E9" w14:textId="7689EF03" w:rsidR="00281A1D" w:rsidRPr="00281A1D" w:rsidRDefault="00281A1D"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Rome III Regulation</w:t>
            </w:r>
          </w:p>
        </w:tc>
        <w:tc>
          <w:tcPr>
            <w:tcW w:w="4819" w:type="dxa"/>
            <w:shd w:val="clear" w:color="auto" w:fill="auto"/>
          </w:tcPr>
          <w:p w14:paraId="537F4EBD" w14:textId="124DDE5D" w:rsidR="00281A1D" w:rsidRPr="00281A1D" w:rsidRDefault="00281A1D"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 xml:space="preserve">Council Regulation (EU) No 1259/2010 of 20 December 2010 </w:t>
            </w:r>
            <w:r w:rsidR="007A4108">
              <w:rPr>
                <w:rFonts w:ascii="Arial" w:hAnsi="Arial" w:cs="Arial"/>
                <w:color w:val="000000" w:themeColor="text1"/>
                <w:lang w:val="en-GB"/>
              </w:rPr>
              <w:t>I</w:t>
            </w:r>
            <w:r w:rsidRPr="00281A1D">
              <w:rPr>
                <w:rFonts w:ascii="Arial" w:hAnsi="Arial" w:cs="Arial"/>
                <w:color w:val="000000" w:themeColor="text1"/>
                <w:lang w:val="en-GB"/>
              </w:rPr>
              <w:t xml:space="preserve">mplementing </w:t>
            </w:r>
            <w:r w:rsidR="007A4108">
              <w:rPr>
                <w:rFonts w:ascii="Arial" w:hAnsi="Arial" w:cs="Arial"/>
                <w:color w:val="000000" w:themeColor="text1"/>
                <w:lang w:val="en-GB"/>
              </w:rPr>
              <w:t>E</w:t>
            </w:r>
            <w:r w:rsidRPr="00281A1D">
              <w:rPr>
                <w:rFonts w:ascii="Arial" w:hAnsi="Arial" w:cs="Arial"/>
                <w:color w:val="000000" w:themeColor="text1"/>
                <w:lang w:val="en-GB"/>
              </w:rPr>
              <w:t xml:space="preserve">nhanced </w:t>
            </w:r>
            <w:r w:rsidR="007A4108">
              <w:rPr>
                <w:rFonts w:ascii="Arial" w:hAnsi="Arial" w:cs="Arial"/>
                <w:color w:val="000000" w:themeColor="text1"/>
                <w:lang w:val="en-GB"/>
              </w:rPr>
              <w:t>C</w:t>
            </w:r>
            <w:r w:rsidRPr="00281A1D">
              <w:rPr>
                <w:rFonts w:ascii="Arial" w:hAnsi="Arial" w:cs="Arial"/>
                <w:color w:val="000000" w:themeColor="text1"/>
                <w:lang w:val="en-GB"/>
              </w:rPr>
              <w:t xml:space="preserve">ooperation in the </w:t>
            </w:r>
            <w:r w:rsidR="007A4108">
              <w:rPr>
                <w:rFonts w:ascii="Arial" w:hAnsi="Arial" w:cs="Arial"/>
                <w:color w:val="000000" w:themeColor="text1"/>
                <w:lang w:val="en-GB"/>
              </w:rPr>
              <w:t>A</w:t>
            </w:r>
            <w:r w:rsidRPr="00281A1D">
              <w:rPr>
                <w:rFonts w:ascii="Arial" w:hAnsi="Arial" w:cs="Arial"/>
                <w:color w:val="000000" w:themeColor="text1"/>
                <w:lang w:val="en-GB"/>
              </w:rPr>
              <w:t xml:space="preserve">rea of the </w:t>
            </w:r>
            <w:r w:rsidR="007A4108">
              <w:rPr>
                <w:rFonts w:ascii="Arial" w:hAnsi="Arial" w:cs="Arial"/>
                <w:color w:val="000000" w:themeColor="text1"/>
                <w:lang w:val="en-GB"/>
              </w:rPr>
              <w:t>L</w:t>
            </w:r>
            <w:r w:rsidRPr="00281A1D">
              <w:rPr>
                <w:rFonts w:ascii="Arial" w:hAnsi="Arial" w:cs="Arial"/>
                <w:color w:val="000000" w:themeColor="text1"/>
                <w:lang w:val="en-GB"/>
              </w:rPr>
              <w:t xml:space="preserve">aw </w:t>
            </w:r>
            <w:r w:rsidR="007A4108">
              <w:rPr>
                <w:rFonts w:ascii="Arial" w:hAnsi="Arial" w:cs="Arial"/>
                <w:color w:val="000000" w:themeColor="text1"/>
                <w:lang w:val="en-GB"/>
              </w:rPr>
              <w:t>A</w:t>
            </w:r>
            <w:r w:rsidRPr="00281A1D">
              <w:rPr>
                <w:rFonts w:ascii="Arial" w:hAnsi="Arial" w:cs="Arial"/>
                <w:color w:val="000000" w:themeColor="text1"/>
                <w:lang w:val="en-GB"/>
              </w:rPr>
              <w:t xml:space="preserve">pplicable to </w:t>
            </w:r>
            <w:r w:rsidR="007A4108">
              <w:rPr>
                <w:rFonts w:ascii="Arial" w:hAnsi="Arial" w:cs="Arial"/>
                <w:color w:val="000000" w:themeColor="text1"/>
                <w:lang w:val="en-GB"/>
              </w:rPr>
              <w:t>D</w:t>
            </w:r>
            <w:r w:rsidRPr="00281A1D">
              <w:rPr>
                <w:rFonts w:ascii="Arial" w:hAnsi="Arial" w:cs="Arial"/>
                <w:color w:val="000000" w:themeColor="text1"/>
                <w:lang w:val="en-GB"/>
              </w:rPr>
              <w:t xml:space="preserve">ivorce and </w:t>
            </w:r>
            <w:r w:rsidR="007A4108">
              <w:rPr>
                <w:rFonts w:ascii="Arial" w:hAnsi="Arial" w:cs="Arial"/>
                <w:color w:val="000000" w:themeColor="text1"/>
                <w:lang w:val="en-GB"/>
              </w:rPr>
              <w:t>L</w:t>
            </w:r>
            <w:r w:rsidRPr="00281A1D">
              <w:rPr>
                <w:rFonts w:ascii="Arial" w:hAnsi="Arial" w:cs="Arial"/>
                <w:color w:val="000000" w:themeColor="text1"/>
                <w:lang w:val="en-GB"/>
              </w:rPr>
              <w:t xml:space="preserve">egal </w:t>
            </w:r>
            <w:r w:rsidR="007A4108">
              <w:rPr>
                <w:rFonts w:ascii="Arial" w:hAnsi="Arial" w:cs="Arial"/>
                <w:color w:val="000000" w:themeColor="text1"/>
                <w:lang w:val="en-GB"/>
              </w:rPr>
              <w:t>S</w:t>
            </w:r>
            <w:r w:rsidRPr="00281A1D">
              <w:rPr>
                <w:rFonts w:ascii="Arial" w:hAnsi="Arial" w:cs="Arial"/>
                <w:color w:val="000000" w:themeColor="text1"/>
                <w:lang w:val="en-GB"/>
              </w:rPr>
              <w:t>eparation</w:t>
            </w:r>
          </w:p>
        </w:tc>
      </w:tr>
      <w:tr w:rsidR="003A344E" w:rsidRPr="00281A1D" w14:paraId="7F8FB4DD" w14:textId="77777777" w:rsidTr="0088408B">
        <w:tc>
          <w:tcPr>
            <w:tcW w:w="3227" w:type="dxa"/>
            <w:shd w:val="clear" w:color="auto" w:fill="auto"/>
          </w:tcPr>
          <w:p w14:paraId="31CABE49" w14:textId="790A4FBE" w:rsidR="003A344E" w:rsidRPr="00281A1D" w:rsidRDefault="003A344E"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TEU</w:t>
            </w:r>
          </w:p>
        </w:tc>
        <w:tc>
          <w:tcPr>
            <w:tcW w:w="4819" w:type="dxa"/>
            <w:shd w:val="clear" w:color="auto" w:fill="auto"/>
          </w:tcPr>
          <w:p w14:paraId="49F2B828" w14:textId="1E4B3FF0" w:rsidR="003A344E" w:rsidRPr="00281A1D" w:rsidRDefault="003A344E"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Treaty on European Union</w:t>
            </w:r>
          </w:p>
        </w:tc>
      </w:tr>
      <w:tr w:rsidR="008C22BC" w:rsidRPr="00281A1D" w14:paraId="6DC632DE" w14:textId="77777777" w:rsidTr="0088408B">
        <w:tc>
          <w:tcPr>
            <w:tcW w:w="3227" w:type="dxa"/>
            <w:shd w:val="clear" w:color="auto" w:fill="auto"/>
          </w:tcPr>
          <w:p w14:paraId="23170C73"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TFEU</w:t>
            </w:r>
          </w:p>
        </w:tc>
        <w:tc>
          <w:tcPr>
            <w:tcW w:w="4819" w:type="dxa"/>
            <w:shd w:val="clear" w:color="auto" w:fill="auto"/>
          </w:tcPr>
          <w:p w14:paraId="46455B23" w14:textId="77777777" w:rsidR="008C22BC" w:rsidRPr="00281A1D" w:rsidRDefault="008C22BC"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Treaty on the Functioning of the European Union</w:t>
            </w:r>
          </w:p>
        </w:tc>
      </w:tr>
      <w:tr w:rsidR="008C22BC" w:rsidRPr="00281A1D" w14:paraId="7E031FDC" w14:textId="77777777" w:rsidTr="0088408B">
        <w:tc>
          <w:tcPr>
            <w:tcW w:w="3227" w:type="dxa"/>
            <w:shd w:val="clear" w:color="auto" w:fill="auto"/>
          </w:tcPr>
          <w:p w14:paraId="679A50BA"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UK</w:t>
            </w:r>
          </w:p>
        </w:tc>
        <w:tc>
          <w:tcPr>
            <w:tcW w:w="4819" w:type="dxa"/>
            <w:shd w:val="clear" w:color="auto" w:fill="auto"/>
          </w:tcPr>
          <w:p w14:paraId="2617E6EF"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United Kingdom</w:t>
            </w:r>
          </w:p>
        </w:tc>
      </w:tr>
      <w:tr w:rsidR="008C22BC" w:rsidRPr="00281A1D" w14:paraId="38F753AD" w14:textId="77777777" w:rsidTr="0088408B">
        <w:tc>
          <w:tcPr>
            <w:tcW w:w="3227" w:type="dxa"/>
            <w:shd w:val="clear" w:color="auto" w:fill="auto"/>
          </w:tcPr>
          <w:p w14:paraId="58EA2E3C"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UN</w:t>
            </w:r>
          </w:p>
        </w:tc>
        <w:tc>
          <w:tcPr>
            <w:tcW w:w="4819" w:type="dxa"/>
            <w:shd w:val="clear" w:color="auto" w:fill="auto"/>
          </w:tcPr>
          <w:p w14:paraId="2AFCA29E" w14:textId="77777777" w:rsidR="008C22BC" w:rsidRPr="00281A1D" w:rsidRDefault="008C22BC" w:rsidP="003D2E71">
            <w:pPr>
              <w:spacing w:after="120" w:line="240" w:lineRule="auto"/>
              <w:rPr>
                <w:rFonts w:ascii="Arial" w:hAnsi="Arial" w:cs="Arial"/>
                <w:color w:val="000000" w:themeColor="text1"/>
                <w:lang w:val="en-GB"/>
              </w:rPr>
            </w:pPr>
            <w:r w:rsidRPr="00281A1D">
              <w:rPr>
                <w:rFonts w:ascii="Arial" w:hAnsi="Arial" w:cs="Arial"/>
                <w:color w:val="000000" w:themeColor="text1"/>
                <w:lang w:val="en-GB"/>
              </w:rPr>
              <w:t>United Nations</w:t>
            </w:r>
          </w:p>
        </w:tc>
      </w:tr>
      <w:tr w:rsidR="008C22BC" w:rsidRPr="00281A1D" w14:paraId="634C1517" w14:textId="77777777" w:rsidTr="0088408B">
        <w:tc>
          <w:tcPr>
            <w:tcW w:w="3227" w:type="dxa"/>
            <w:shd w:val="clear" w:color="auto" w:fill="auto"/>
          </w:tcPr>
          <w:p w14:paraId="0351EA3E"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 xml:space="preserve">UNCITRAL </w:t>
            </w:r>
          </w:p>
        </w:tc>
        <w:tc>
          <w:tcPr>
            <w:tcW w:w="4819" w:type="dxa"/>
            <w:shd w:val="clear" w:color="auto" w:fill="auto"/>
          </w:tcPr>
          <w:p w14:paraId="7894108E"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United Nations Commission on International Trade Law</w:t>
            </w:r>
          </w:p>
        </w:tc>
      </w:tr>
      <w:tr w:rsidR="008C22BC" w:rsidRPr="00281A1D" w14:paraId="093EB1B1" w14:textId="77777777" w:rsidTr="0088408B">
        <w:tc>
          <w:tcPr>
            <w:tcW w:w="3227" w:type="dxa"/>
            <w:shd w:val="clear" w:color="auto" w:fill="auto"/>
          </w:tcPr>
          <w:p w14:paraId="232BE594"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US / U.S.</w:t>
            </w:r>
          </w:p>
        </w:tc>
        <w:tc>
          <w:tcPr>
            <w:tcW w:w="4819" w:type="dxa"/>
            <w:shd w:val="clear" w:color="auto" w:fill="auto"/>
          </w:tcPr>
          <w:p w14:paraId="661330A9"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United States</w:t>
            </w:r>
          </w:p>
        </w:tc>
      </w:tr>
      <w:tr w:rsidR="008C22BC" w:rsidRPr="00281A1D" w14:paraId="5C12B520" w14:textId="77777777" w:rsidTr="0088408B">
        <w:tc>
          <w:tcPr>
            <w:tcW w:w="3227" w:type="dxa"/>
            <w:shd w:val="clear" w:color="auto" w:fill="auto"/>
          </w:tcPr>
          <w:p w14:paraId="4533952A"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VCLT</w:t>
            </w:r>
          </w:p>
        </w:tc>
        <w:tc>
          <w:tcPr>
            <w:tcW w:w="4819" w:type="dxa"/>
            <w:shd w:val="clear" w:color="auto" w:fill="auto"/>
          </w:tcPr>
          <w:p w14:paraId="66EE3922"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Vienna Convention on the Law of Treaties</w:t>
            </w:r>
          </w:p>
        </w:tc>
      </w:tr>
      <w:tr w:rsidR="008C22BC" w:rsidRPr="00281A1D" w14:paraId="33FE0D46" w14:textId="77777777" w:rsidTr="0088408B">
        <w:tc>
          <w:tcPr>
            <w:tcW w:w="3227" w:type="dxa"/>
            <w:shd w:val="clear" w:color="auto" w:fill="auto"/>
          </w:tcPr>
          <w:p w14:paraId="54BB7C6B" w14:textId="77777777" w:rsidR="008C22BC" w:rsidRPr="00281A1D" w:rsidRDefault="008C22BC" w:rsidP="003D2E71">
            <w:pPr>
              <w:spacing w:after="120" w:line="240" w:lineRule="auto"/>
              <w:rPr>
                <w:rFonts w:ascii="Arial" w:hAnsi="Arial" w:cs="Arial"/>
                <w:b/>
                <w:color w:val="000000" w:themeColor="text1"/>
                <w:lang w:val="en-GB"/>
              </w:rPr>
            </w:pPr>
            <w:r w:rsidRPr="00281A1D">
              <w:rPr>
                <w:rFonts w:ascii="Arial" w:hAnsi="Arial" w:cs="Arial"/>
                <w:b/>
                <w:color w:val="000000" w:themeColor="text1"/>
                <w:lang w:val="en-GB"/>
              </w:rPr>
              <w:t>Vol.</w:t>
            </w:r>
          </w:p>
        </w:tc>
        <w:tc>
          <w:tcPr>
            <w:tcW w:w="4819" w:type="dxa"/>
            <w:shd w:val="clear" w:color="auto" w:fill="auto"/>
          </w:tcPr>
          <w:p w14:paraId="37A0EF03" w14:textId="77777777" w:rsidR="008C22BC" w:rsidRPr="00281A1D" w:rsidRDefault="008C22BC" w:rsidP="003D2E71">
            <w:pPr>
              <w:spacing w:after="120" w:line="240" w:lineRule="auto"/>
              <w:jc w:val="both"/>
              <w:rPr>
                <w:rFonts w:ascii="Arial" w:hAnsi="Arial" w:cs="Arial"/>
                <w:color w:val="000000" w:themeColor="text1"/>
                <w:lang w:val="en-GB"/>
              </w:rPr>
            </w:pPr>
            <w:r w:rsidRPr="00281A1D">
              <w:rPr>
                <w:rFonts w:ascii="Arial" w:hAnsi="Arial" w:cs="Arial"/>
                <w:color w:val="000000" w:themeColor="text1"/>
                <w:lang w:val="en-GB"/>
              </w:rPr>
              <w:t>Volume</w:t>
            </w:r>
          </w:p>
        </w:tc>
      </w:tr>
    </w:tbl>
    <w:p w14:paraId="4963B758" w14:textId="28D823CF" w:rsidR="003A344E" w:rsidRDefault="003A344E" w:rsidP="00281A1D">
      <w:pPr>
        <w:spacing w:after="120" w:line="240" w:lineRule="auto"/>
        <w:rPr>
          <w:lang w:val="en-GB" w:eastAsia="ar-SA"/>
        </w:rPr>
      </w:pPr>
    </w:p>
    <w:p w14:paraId="06E28A0E" w14:textId="5DB65EC5" w:rsidR="00281A1D" w:rsidRDefault="00281A1D" w:rsidP="00281A1D">
      <w:pPr>
        <w:spacing w:after="120" w:line="240" w:lineRule="auto"/>
        <w:rPr>
          <w:lang w:val="en-GB" w:eastAsia="ar-SA"/>
        </w:rPr>
      </w:pPr>
    </w:p>
    <w:sectPr w:rsidR="00281A1D"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90A3" w14:textId="77777777" w:rsidR="008C4FD8" w:rsidRDefault="008C4FD8" w:rsidP="0036679C">
      <w:r>
        <w:separator/>
      </w:r>
    </w:p>
    <w:p w14:paraId="2B4976B0" w14:textId="77777777" w:rsidR="008C4FD8" w:rsidRDefault="008C4FD8"/>
  </w:endnote>
  <w:endnote w:type="continuationSeparator" w:id="0">
    <w:p w14:paraId="09C0CC1A" w14:textId="77777777" w:rsidR="008C4FD8" w:rsidRDefault="008C4FD8" w:rsidP="0036679C">
      <w:r>
        <w:continuationSeparator/>
      </w:r>
    </w:p>
    <w:p w14:paraId="4462C747" w14:textId="77777777" w:rsidR="008C4FD8" w:rsidRDefault="008C4FD8"/>
  </w:endnote>
  <w:endnote w:type="continuationNotice" w:id="1">
    <w:p w14:paraId="085E2D63" w14:textId="77777777" w:rsidR="008C4FD8" w:rsidRDefault="008C4FD8" w:rsidP="0036679C"/>
    <w:p w14:paraId="1FFFE5E4" w14:textId="77777777" w:rsidR="008C4FD8" w:rsidRDefault="008C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CE23"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4812"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A937" w14:textId="77777777" w:rsidR="008C4FD8" w:rsidRPr="00A510E1" w:rsidRDefault="008C4FD8" w:rsidP="0036679C">
      <w:r w:rsidRPr="00A510E1">
        <w:separator/>
      </w:r>
    </w:p>
  </w:footnote>
  <w:footnote w:type="continuationSeparator" w:id="0">
    <w:p w14:paraId="1C4F70EB" w14:textId="77777777" w:rsidR="008C4FD8" w:rsidRDefault="008C4FD8" w:rsidP="0036679C">
      <w:r>
        <w:continuationSeparator/>
      </w:r>
    </w:p>
    <w:p w14:paraId="2EABB97E" w14:textId="77777777" w:rsidR="008C4FD8" w:rsidRDefault="008C4FD8"/>
  </w:footnote>
  <w:footnote w:type="continuationNotice" w:id="1">
    <w:p w14:paraId="1F498389" w14:textId="77777777" w:rsidR="008C4FD8" w:rsidRDefault="008C4FD8" w:rsidP="0036679C"/>
    <w:p w14:paraId="6247ECC5" w14:textId="77777777" w:rsidR="008C4FD8" w:rsidRDefault="008C4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E043" w14:textId="77777777" w:rsidR="00D03DE5" w:rsidRDefault="001B28E1">
    <w:pPr>
      <w:pStyle w:val="Zhlav"/>
    </w:pPr>
    <w:r>
      <w:rPr>
        <w:noProof/>
        <w:lang w:eastAsia="cs-CZ"/>
      </w:rPr>
      <w:drawing>
        <wp:anchor distT="0" distB="0" distL="114300" distR="114300" simplePos="0" relativeHeight="251658240" behindDoc="1" locked="0" layoutInCell="1" allowOverlap="1" wp14:anchorId="27DC0B8C" wp14:editId="3FB3C95C">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353"/>
    <w:multiLevelType w:val="hybridMultilevel"/>
    <w:tmpl w:val="EA1263F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1721A98"/>
    <w:multiLevelType w:val="hybridMultilevel"/>
    <w:tmpl w:val="D92E30F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24360C5"/>
    <w:multiLevelType w:val="hybridMultilevel"/>
    <w:tmpl w:val="212854B2"/>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50133E0"/>
    <w:multiLevelType w:val="multilevel"/>
    <w:tmpl w:val="188E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5" w15:restartNumberingAfterBreak="0">
    <w:nsid w:val="13C34DB3"/>
    <w:multiLevelType w:val="hybridMultilevel"/>
    <w:tmpl w:val="7CF084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C4D10"/>
    <w:multiLevelType w:val="multilevel"/>
    <w:tmpl w:val="2CA41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391"/>
    <w:multiLevelType w:val="hybridMultilevel"/>
    <w:tmpl w:val="BF8E270C"/>
    <w:lvl w:ilvl="0" w:tplc="0405000B">
      <w:start w:val="1"/>
      <w:numFmt w:val="bullet"/>
      <w:lvlText w:val=""/>
      <w:lvlJc w:val="left"/>
      <w:pPr>
        <w:ind w:left="1429" w:hanging="360"/>
      </w:pPr>
      <w:rPr>
        <w:rFonts w:ascii="Wingdings" w:hAnsi="Wingding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3385244"/>
    <w:multiLevelType w:val="hybridMultilevel"/>
    <w:tmpl w:val="915E270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BA9"/>
    <w:multiLevelType w:val="hybridMultilevel"/>
    <w:tmpl w:val="E154D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9F547A"/>
    <w:multiLevelType w:val="hybridMultilevel"/>
    <w:tmpl w:val="B1EC29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2" w15:restartNumberingAfterBreak="0">
    <w:nsid w:val="43346311"/>
    <w:multiLevelType w:val="hybridMultilevel"/>
    <w:tmpl w:val="B1EC29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68290A"/>
    <w:multiLevelType w:val="multilevel"/>
    <w:tmpl w:val="18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E1EBF"/>
    <w:multiLevelType w:val="hybridMultilevel"/>
    <w:tmpl w:val="C02E5DB2"/>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87A78A5"/>
    <w:multiLevelType w:val="hybridMultilevel"/>
    <w:tmpl w:val="24D685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F14402"/>
    <w:multiLevelType w:val="hybridMultilevel"/>
    <w:tmpl w:val="CF2432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FE68CF"/>
    <w:multiLevelType w:val="hybridMultilevel"/>
    <w:tmpl w:val="A6F2FD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E57D3F"/>
    <w:multiLevelType w:val="multilevel"/>
    <w:tmpl w:val="6EA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A031A"/>
    <w:multiLevelType w:val="hybridMultilevel"/>
    <w:tmpl w:val="C142B6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684BD2"/>
    <w:multiLevelType w:val="multilevel"/>
    <w:tmpl w:val="050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2" w15:restartNumberingAfterBreak="0">
    <w:nsid w:val="7B011C00"/>
    <w:multiLevelType w:val="hybridMultilevel"/>
    <w:tmpl w:val="97C27440"/>
    <w:lvl w:ilvl="0" w:tplc="0405000B">
      <w:start w:val="1"/>
      <w:numFmt w:val="bullet"/>
      <w:lvlText w:val=""/>
      <w:lvlJc w:val="left"/>
      <w:pPr>
        <w:ind w:left="1494"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CA93EFB"/>
    <w:multiLevelType w:val="multilevel"/>
    <w:tmpl w:val="E282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11"/>
  </w:num>
  <w:num w:numId="4">
    <w:abstractNumId w:val="3"/>
  </w:num>
  <w:num w:numId="5">
    <w:abstractNumId w:val="7"/>
  </w:num>
  <w:num w:numId="6">
    <w:abstractNumId w:val="23"/>
  </w:num>
  <w:num w:numId="7">
    <w:abstractNumId w:val="14"/>
  </w:num>
  <w:num w:numId="8">
    <w:abstractNumId w:val="13"/>
  </w:num>
  <w:num w:numId="9">
    <w:abstractNumId w:val="18"/>
  </w:num>
  <w:num w:numId="10">
    <w:abstractNumId w:val="0"/>
  </w:num>
  <w:num w:numId="11">
    <w:abstractNumId w:val="22"/>
  </w:num>
  <w:num w:numId="12">
    <w:abstractNumId w:val="20"/>
  </w:num>
  <w:num w:numId="13">
    <w:abstractNumId w:val="2"/>
  </w:num>
  <w:num w:numId="14">
    <w:abstractNumId w:val="1"/>
  </w:num>
  <w:num w:numId="15">
    <w:abstractNumId w:val="5"/>
  </w:num>
  <w:num w:numId="16">
    <w:abstractNumId w:val="8"/>
  </w:num>
  <w:num w:numId="17">
    <w:abstractNumId w:val="19"/>
  </w:num>
  <w:num w:numId="18">
    <w:abstractNumId w:val="17"/>
  </w:num>
  <w:num w:numId="19">
    <w:abstractNumId w:val="10"/>
  </w:num>
  <w:num w:numId="20">
    <w:abstractNumId w:val="12"/>
  </w:num>
  <w:num w:numId="21">
    <w:abstractNumId w:val="16"/>
  </w:num>
  <w:num w:numId="22">
    <w:abstractNumId w:val="9"/>
  </w:num>
  <w:num w:numId="23">
    <w:abstractNumId w:val="6"/>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727"/>
    <w:rsid w:val="000070ED"/>
    <w:rsid w:val="00012633"/>
    <w:rsid w:val="000146E1"/>
    <w:rsid w:val="00014BAE"/>
    <w:rsid w:val="00015D6E"/>
    <w:rsid w:val="0001619E"/>
    <w:rsid w:val="000179FD"/>
    <w:rsid w:val="000202B8"/>
    <w:rsid w:val="0002399E"/>
    <w:rsid w:val="000243E7"/>
    <w:rsid w:val="0002586C"/>
    <w:rsid w:val="00027913"/>
    <w:rsid w:val="0003101C"/>
    <w:rsid w:val="00037FE8"/>
    <w:rsid w:val="0004541F"/>
    <w:rsid w:val="00047225"/>
    <w:rsid w:val="000474CC"/>
    <w:rsid w:val="000541B4"/>
    <w:rsid w:val="000642AA"/>
    <w:rsid w:val="000651D8"/>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03FC"/>
    <w:rsid w:val="000A2688"/>
    <w:rsid w:val="000A3F60"/>
    <w:rsid w:val="000A7217"/>
    <w:rsid w:val="000A7823"/>
    <w:rsid w:val="000B0A0F"/>
    <w:rsid w:val="000B0B9F"/>
    <w:rsid w:val="000B168F"/>
    <w:rsid w:val="000B29E7"/>
    <w:rsid w:val="000B2EF5"/>
    <w:rsid w:val="000B5497"/>
    <w:rsid w:val="000B7E9B"/>
    <w:rsid w:val="000C02CF"/>
    <w:rsid w:val="000C1F40"/>
    <w:rsid w:val="000C2187"/>
    <w:rsid w:val="000C5C5B"/>
    <w:rsid w:val="000D101F"/>
    <w:rsid w:val="000D279A"/>
    <w:rsid w:val="000D2CC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29DF"/>
    <w:rsid w:val="001156E2"/>
    <w:rsid w:val="00115D56"/>
    <w:rsid w:val="00115FE1"/>
    <w:rsid w:val="001166EB"/>
    <w:rsid w:val="001168B9"/>
    <w:rsid w:val="00116EBA"/>
    <w:rsid w:val="001177AA"/>
    <w:rsid w:val="00123ADD"/>
    <w:rsid w:val="00124EC7"/>
    <w:rsid w:val="001251A3"/>
    <w:rsid w:val="00125258"/>
    <w:rsid w:val="00125AC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5C60"/>
    <w:rsid w:val="00156BE5"/>
    <w:rsid w:val="001579B6"/>
    <w:rsid w:val="00161C22"/>
    <w:rsid w:val="0016251E"/>
    <w:rsid w:val="00162523"/>
    <w:rsid w:val="00165CAF"/>
    <w:rsid w:val="0016772E"/>
    <w:rsid w:val="00171997"/>
    <w:rsid w:val="001757C2"/>
    <w:rsid w:val="00180AB7"/>
    <w:rsid w:val="001814C6"/>
    <w:rsid w:val="00181FF8"/>
    <w:rsid w:val="0018257C"/>
    <w:rsid w:val="00183218"/>
    <w:rsid w:val="0018385C"/>
    <w:rsid w:val="001842D8"/>
    <w:rsid w:val="001902BE"/>
    <w:rsid w:val="001934F3"/>
    <w:rsid w:val="001957F9"/>
    <w:rsid w:val="00195A4A"/>
    <w:rsid w:val="00197D3B"/>
    <w:rsid w:val="001A3FA1"/>
    <w:rsid w:val="001A58B1"/>
    <w:rsid w:val="001A5EDB"/>
    <w:rsid w:val="001A617A"/>
    <w:rsid w:val="001A7007"/>
    <w:rsid w:val="001B0D21"/>
    <w:rsid w:val="001B2261"/>
    <w:rsid w:val="001B23DC"/>
    <w:rsid w:val="001B28E1"/>
    <w:rsid w:val="001B36DF"/>
    <w:rsid w:val="001B3768"/>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12"/>
    <w:rsid w:val="001F1958"/>
    <w:rsid w:val="001F257B"/>
    <w:rsid w:val="001F439E"/>
    <w:rsid w:val="001F5E64"/>
    <w:rsid w:val="002007EC"/>
    <w:rsid w:val="00202913"/>
    <w:rsid w:val="00202FFD"/>
    <w:rsid w:val="00203362"/>
    <w:rsid w:val="00204B09"/>
    <w:rsid w:val="00212651"/>
    <w:rsid w:val="0021324C"/>
    <w:rsid w:val="00216825"/>
    <w:rsid w:val="00216CED"/>
    <w:rsid w:val="00222761"/>
    <w:rsid w:val="00223FCC"/>
    <w:rsid w:val="00224CCD"/>
    <w:rsid w:val="00225628"/>
    <w:rsid w:val="00230350"/>
    <w:rsid w:val="002328B0"/>
    <w:rsid w:val="002338DC"/>
    <w:rsid w:val="00234B1A"/>
    <w:rsid w:val="00235960"/>
    <w:rsid w:val="002360CB"/>
    <w:rsid w:val="00236B12"/>
    <w:rsid w:val="0023704F"/>
    <w:rsid w:val="002403AD"/>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9EA"/>
    <w:rsid w:val="00257149"/>
    <w:rsid w:val="002577AE"/>
    <w:rsid w:val="00260601"/>
    <w:rsid w:val="002607BC"/>
    <w:rsid w:val="0026167E"/>
    <w:rsid w:val="0026439A"/>
    <w:rsid w:val="0026476C"/>
    <w:rsid w:val="00264919"/>
    <w:rsid w:val="002663FF"/>
    <w:rsid w:val="00272DF8"/>
    <w:rsid w:val="00274883"/>
    <w:rsid w:val="002749AA"/>
    <w:rsid w:val="00280202"/>
    <w:rsid w:val="002817C0"/>
    <w:rsid w:val="00281A1D"/>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456F"/>
    <w:rsid w:val="002E53C4"/>
    <w:rsid w:val="002E5479"/>
    <w:rsid w:val="002E556D"/>
    <w:rsid w:val="002E5DC4"/>
    <w:rsid w:val="002E745F"/>
    <w:rsid w:val="002F108C"/>
    <w:rsid w:val="002F12E2"/>
    <w:rsid w:val="002F17DC"/>
    <w:rsid w:val="002F3C78"/>
    <w:rsid w:val="002F49E0"/>
    <w:rsid w:val="002F7833"/>
    <w:rsid w:val="002F7DD8"/>
    <w:rsid w:val="00300FEC"/>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19F0"/>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344E"/>
    <w:rsid w:val="003A462D"/>
    <w:rsid w:val="003A4BDD"/>
    <w:rsid w:val="003A5704"/>
    <w:rsid w:val="003B0E90"/>
    <w:rsid w:val="003B4C80"/>
    <w:rsid w:val="003C03D6"/>
    <w:rsid w:val="003C5058"/>
    <w:rsid w:val="003C5347"/>
    <w:rsid w:val="003C6D3D"/>
    <w:rsid w:val="003D0026"/>
    <w:rsid w:val="003D2DC2"/>
    <w:rsid w:val="003D2E71"/>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7612"/>
    <w:rsid w:val="004222AD"/>
    <w:rsid w:val="00423B3B"/>
    <w:rsid w:val="00424873"/>
    <w:rsid w:val="00427364"/>
    <w:rsid w:val="00427BCF"/>
    <w:rsid w:val="00427C05"/>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6AD5"/>
    <w:rsid w:val="004473B8"/>
    <w:rsid w:val="00452494"/>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7948"/>
    <w:rsid w:val="00477CE1"/>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5DD0"/>
    <w:rsid w:val="004A60A7"/>
    <w:rsid w:val="004B3B68"/>
    <w:rsid w:val="004B49D2"/>
    <w:rsid w:val="004B6F72"/>
    <w:rsid w:val="004B7370"/>
    <w:rsid w:val="004B7C7A"/>
    <w:rsid w:val="004C4067"/>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3DBB"/>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2A2E"/>
    <w:rsid w:val="00576FA5"/>
    <w:rsid w:val="00577629"/>
    <w:rsid w:val="005813BE"/>
    <w:rsid w:val="00584423"/>
    <w:rsid w:val="00584C70"/>
    <w:rsid w:val="005855D8"/>
    <w:rsid w:val="0058652F"/>
    <w:rsid w:val="0058753E"/>
    <w:rsid w:val="00590266"/>
    <w:rsid w:val="00590427"/>
    <w:rsid w:val="00592F2F"/>
    <w:rsid w:val="00595733"/>
    <w:rsid w:val="00595DAA"/>
    <w:rsid w:val="0059781B"/>
    <w:rsid w:val="005A0801"/>
    <w:rsid w:val="005A0989"/>
    <w:rsid w:val="005A2DD3"/>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1B21"/>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2630"/>
    <w:rsid w:val="006D4300"/>
    <w:rsid w:val="006D5BA4"/>
    <w:rsid w:val="006E06E3"/>
    <w:rsid w:val="006E1004"/>
    <w:rsid w:val="006E2D94"/>
    <w:rsid w:val="006E5058"/>
    <w:rsid w:val="006E6E8A"/>
    <w:rsid w:val="006F00BF"/>
    <w:rsid w:val="006F1B20"/>
    <w:rsid w:val="006F1D59"/>
    <w:rsid w:val="006F210A"/>
    <w:rsid w:val="006F3CD5"/>
    <w:rsid w:val="006F3F5B"/>
    <w:rsid w:val="006F42F1"/>
    <w:rsid w:val="006F5638"/>
    <w:rsid w:val="006F617C"/>
    <w:rsid w:val="006F76BF"/>
    <w:rsid w:val="007002C2"/>
    <w:rsid w:val="00701042"/>
    <w:rsid w:val="00701B60"/>
    <w:rsid w:val="00701D93"/>
    <w:rsid w:val="00703AC7"/>
    <w:rsid w:val="00703C97"/>
    <w:rsid w:val="00705BA1"/>
    <w:rsid w:val="0070752E"/>
    <w:rsid w:val="0070767B"/>
    <w:rsid w:val="0070768B"/>
    <w:rsid w:val="007141B5"/>
    <w:rsid w:val="007148BE"/>
    <w:rsid w:val="00714D35"/>
    <w:rsid w:val="00720712"/>
    <w:rsid w:val="00720831"/>
    <w:rsid w:val="0072538C"/>
    <w:rsid w:val="00727DBC"/>
    <w:rsid w:val="00730F3F"/>
    <w:rsid w:val="007312E2"/>
    <w:rsid w:val="007323AD"/>
    <w:rsid w:val="00741EC3"/>
    <w:rsid w:val="007430AA"/>
    <w:rsid w:val="00743805"/>
    <w:rsid w:val="007466A6"/>
    <w:rsid w:val="00750198"/>
    <w:rsid w:val="0075095E"/>
    <w:rsid w:val="0075181D"/>
    <w:rsid w:val="00754AD2"/>
    <w:rsid w:val="00755B2B"/>
    <w:rsid w:val="007614B0"/>
    <w:rsid w:val="00761A19"/>
    <w:rsid w:val="00761BDD"/>
    <w:rsid w:val="00764236"/>
    <w:rsid w:val="0076426E"/>
    <w:rsid w:val="00764F3A"/>
    <w:rsid w:val="0076761D"/>
    <w:rsid w:val="00771583"/>
    <w:rsid w:val="007732F2"/>
    <w:rsid w:val="00775FD8"/>
    <w:rsid w:val="007814D5"/>
    <w:rsid w:val="00781A00"/>
    <w:rsid w:val="00782F71"/>
    <w:rsid w:val="00784BBD"/>
    <w:rsid w:val="007971F1"/>
    <w:rsid w:val="00797792"/>
    <w:rsid w:val="007A0031"/>
    <w:rsid w:val="007A4108"/>
    <w:rsid w:val="007A6648"/>
    <w:rsid w:val="007A7F42"/>
    <w:rsid w:val="007B0873"/>
    <w:rsid w:val="007B1CA0"/>
    <w:rsid w:val="007B1E3B"/>
    <w:rsid w:val="007B2899"/>
    <w:rsid w:val="007B3082"/>
    <w:rsid w:val="007B31DD"/>
    <w:rsid w:val="007B4F0F"/>
    <w:rsid w:val="007B762F"/>
    <w:rsid w:val="007C0E3D"/>
    <w:rsid w:val="007C0EC6"/>
    <w:rsid w:val="007C2C9A"/>
    <w:rsid w:val="007C5F66"/>
    <w:rsid w:val="007D3259"/>
    <w:rsid w:val="007D7271"/>
    <w:rsid w:val="007D735D"/>
    <w:rsid w:val="007D779A"/>
    <w:rsid w:val="007E0B6E"/>
    <w:rsid w:val="007E1DBF"/>
    <w:rsid w:val="007E4C43"/>
    <w:rsid w:val="007E5081"/>
    <w:rsid w:val="007F0958"/>
    <w:rsid w:val="007F1354"/>
    <w:rsid w:val="007F33AC"/>
    <w:rsid w:val="007F48D7"/>
    <w:rsid w:val="007F50AD"/>
    <w:rsid w:val="007F56D8"/>
    <w:rsid w:val="007F6F3A"/>
    <w:rsid w:val="00800A0A"/>
    <w:rsid w:val="00801EA4"/>
    <w:rsid w:val="008020A3"/>
    <w:rsid w:val="00802B9B"/>
    <w:rsid w:val="00803270"/>
    <w:rsid w:val="008042A5"/>
    <w:rsid w:val="00804F79"/>
    <w:rsid w:val="00807339"/>
    <w:rsid w:val="00812064"/>
    <w:rsid w:val="00812A1D"/>
    <w:rsid w:val="00813778"/>
    <w:rsid w:val="00813899"/>
    <w:rsid w:val="0081648C"/>
    <w:rsid w:val="008164D9"/>
    <w:rsid w:val="00822DE9"/>
    <w:rsid w:val="0082305C"/>
    <w:rsid w:val="0082429C"/>
    <w:rsid w:val="008252A9"/>
    <w:rsid w:val="008277D2"/>
    <w:rsid w:val="00827998"/>
    <w:rsid w:val="00832BA1"/>
    <w:rsid w:val="00835678"/>
    <w:rsid w:val="00837B61"/>
    <w:rsid w:val="00840667"/>
    <w:rsid w:val="008447F5"/>
    <w:rsid w:val="008451E3"/>
    <w:rsid w:val="00845873"/>
    <w:rsid w:val="008458B5"/>
    <w:rsid w:val="00845A32"/>
    <w:rsid w:val="00845B2A"/>
    <w:rsid w:val="0084685E"/>
    <w:rsid w:val="00847BEC"/>
    <w:rsid w:val="0085094B"/>
    <w:rsid w:val="008526C9"/>
    <w:rsid w:val="008530CB"/>
    <w:rsid w:val="00860770"/>
    <w:rsid w:val="008624F6"/>
    <w:rsid w:val="00866233"/>
    <w:rsid w:val="00871877"/>
    <w:rsid w:val="00871BBA"/>
    <w:rsid w:val="00872447"/>
    <w:rsid w:val="008731E7"/>
    <w:rsid w:val="00874861"/>
    <w:rsid w:val="00874D58"/>
    <w:rsid w:val="00875A4C"/>
    <w:rsid w:val="008779BF"/>
    <w:rsid w:val="00877DC1"/>
    <w:rsid w:val="008808FA"/>
    <w:rsid w:val="00880A53"/>
    <w:rsid w:val="00881206"/>
    <w:rsid w:val="0088174C"/>
    <w:rsid w:val="00886F5C"/>
    <w:rsid w:val="0088759F"/>
    <w:rsid w:val="00887F90"/>
    <w:rsid w:val="00890386"/>
    <w:rsid w:val="00892EDB"/>
    <w:rsid w:val="00895081"/>
    <w:rsid w:val="008A45F5"/>
    <w:rsid w:val="008A5E9E"/>
    <w:rsid w:val="008A6432"/>
    <w:rsid w:val="008B08F5"/>
    <w:rsid w:val="008B105E"/>
    <w:rsid w:val="008B50D4"/>
    <w:rsid w:val="008C06F7"/>
    <w:rsid w:val="008C22BC"/>
    <w:rsid w:val="008C28ED"/>
    <w:rsid w:val="008C2C63"/>
    <w:rsid w:val="008C306E"/>
    <w:rsid w:val="008C37E8"/>
    <w:rsid w:val="008C4FD8"/>
    <w:rsid w:val="008D0589"/>
    <w:rsid w:val="008D65CD"/>
    <w:rsid w:val="008E1AD6"/>
    <w:rsid w:val="008E4F33"/>
    <w:rsid w:val="008E5136"/>
    <w:rsid w:val="008E522C"/>
    <w:rsid w:val="008E6068"/>
    <w:rsid w:val="008E694F"/>
    <w:rsid w:val="008E7EF8"/>
    <w:rsid w:val="008E7FAF"/>
    <w:rsid w:val="008F1C96"/>
    <w:rsid w:val="008F1CBE"/>
    <w:rsid w:val="008F1D45"/>
    <w:rsid w:val="008F2513"/>
    <w:rsid w:val="008F2B6F"/>
    <w:rsid w:val="008F3AF0"/>
    <w:rsid w:val="00902DEB"/>
    <w:rsid w:val="00903A67"/>
    <w:rsid w:val="009045B1"/>
    <w:rsid w:val="00904DC5"/>
    <w:rsid w:val="00905906"/>
    <w:rsid w:val="0091057D"/>
    <w:rsid w:val="00910AA7"/>
    <w:rsid w:val="009138D8"/>
    <w:rsid w:val="00913C74"/>
    <w:rsid w:val="009142D8"/>
    <w:rsid w:val="00914A08"/>
    <w:rsid w:val="009169A2"/>
    <w:rsid w:val="00916F8B"/>
    <w:rsid w:val="00917296"/>
    <w:rsid w:val="00921214"/>
    <w:rsid w:val="00922521"/>
    <w:rsid w:val="00924D00"/>
    <w:rsid w:val="00926366"/>
    <w:rsid w:val="00930843"/>
    <w:rsid w:val="00930D7A"/>
    <w:rsid w:val="00934583"/>
    <w:rsid w:val="00935DFA"/>
    <w:rsid w:val="00941DD1"/>
    <w:rsid w:val="009439E5"/>
    <w:rsid w:val="0094626C"/>
    <w:rsid w:val="00946B5F"/>
    <w:rsid w:val="009473ED"/>
    <w:rsid w:val="0094751C"/>
    <w:rsid w:val="00947991"/>
    <w:rsid w:val="009501FA"/>
    <w:rsid w:val="009509A5"/>
    <w:rsid w:val="00950F3C"/>
    <w:rsid w:val="00952905"/>
    <w:rsid w:val="00953FE8"/>
    <w:rsid w:val="009551C1"/>
    <w:rsid w:val="00956087"/>
    <w:rsid w:val="009569C1"/>
    <w:rsid w:val="009619EC"/>
    <w:rsid w:val="00962013"/>
    <w:rsid w:val="00962C87"/>
    <w:rsid w:val="00962F1E"/>
    <w:rsid w:val="009661FA"/>
    <w:rsid w:val="009674AD"/>
    <w:rsid w:val="0097145A"/>
    <w:rsid w:val="0097245E"/>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20D5"/>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5C52"/>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149"/>
    <w:rsid w:val="00A74CE7"/>
    <w:rsid w:val="00A7601B"/>
    <w:rsid w:val="00A7602D"/>
    <w:rsid w:val="00A76AEC"/>
    <w:rsid w:val="00A8022C"/>
    <w:rsid w:val="00A830CA"/>
    <w:rsid w:val="00A83CB0"/>
    <w:rsid w:val="00A862F2"/>
    <w:rsid w:val="00A864F2"/>
    <w:rsid w:val="00A87743"/>
    <w:rsid w:val="00A8779A"/>
    <w:rsid w:val="00A902C1"/>
    <w:rsid w:val="00A91D13"/>
    <w:rsid w:val="00A92BAE"/>
    <w:rsid w:val="00A941E3"/>
    <w:rsid w:val="00A95C2B"/>
    <w:rsid w:val="00AA0DEE"/>
    <w:rsid w:val="00AA1009"/>
    <w:rsid w:val="00AA27A4"/>
    <w:rsid w:val="00AA5D7F"/>
    <w:rsid w:val="00AA628C"/>
    <w:rsid w:val="00AB042A"/>
    <w:rsid w:val="00AB0F05"/>
    <w:rsid w:val="00AB25EB"/>
    <w:rsid w:val="00AB330B"/>
    <w:rsid w:val="00AB6966"/>
    <w:rsid w:val="00AB7CE2"/>
    <w:rsid w:val="00AC2CDD"/>
    <w:rsid w:val="00AC5DF7"/>
    <w:rsid w:val="00AC5F35"/>
    <w:rsid w:val="00AD391F"/>
    <w:rsid w:val="00AD6DE1"/>
    <w:rsid w:val="00AD7E7B"/>
    <w:rsid w:val="00AE0552"/>
    <w:rsid w:val="00AE50B9"/>
    <w:rsid w:val="00AE58AA"/>
    <w:rsid w:val="00AE7D4F"/>
    <w:rsid w:val="00AF4844"/>
    <w:rsid w:val="00AF6F82"/>
    <w:rsid w:val="00B003B6"/>
    <w:rsid w:val="00B00586"/>
    <w:rsid w:val="00B013E4"/>
    <w:rsid w:val="00B03906"/>
    <w:rsid w:val="00B0491F"/>
    <w:rsid w:val="00B05580"/>
    <w:rsid w:val="00B0599E"/>
    <w:rsid w:val="00B123A9"/>
    <w:rsid w:val="00B1275B"/>
    <w:rsid w:val="00B12D5C"/>
    <w:rsid w:val="00B13722"/>
    <w:rsid w:val="00B13D68"/>
    <w:rsid w:val="00B143F4"/>
    <w:rsid w:val="00B1472A"/>
    <w:rsid w:val="00B14D01"/>
    <w:rsid w:val="00B14EF3"/>
    <w:rsid w:val="00B173E2"/>
    <w:rsid w:val="00B17A50"/>
    <w:rsid w:val="00B20037"/>
    <w:rsid w:val="00B2096D"/>
    <w:rsid w:val="00B2203F"/>
    <w:rsid w:val="00B2460E"/>
    <w:rsid w:val="00B25D81"/>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A68"/>
    <w:rsid w:val="00BF6C7D"/>
    <w:rsid w:val="00BF7452"/>
    <w:rsid w:val="00BF795A"/>
    <w:rsid w:val="00BF7C02"/>
    <w:rsid w:val="00C01970"/>
    <w:rsid w:val="00C0316C"/>
    <w:rsid w:val="00C035CC"/>
    <w:rsid w:val="00C03842"/>
    <w:rsid w:val="00C04777"/>
    <w:rsid w:val="00C05952"/>
    <w:rsid w:val="00C059E9"/>
    <w:rsid w:val="00C05C0D"/>
    <w:rsid w:val="00C109DD"/>
    <w:rsid w:val="00C1175B"/>
    <w:rsid w:val="00C11892"/>
    <w:rsid w:val="00C121A5"/>
    <w:rsid w:val="00C1227E"/>
    <w:rsid w:val="00C1743C"/>
    <w:rsid w:val="00C20F21"/>
    <w:rsid w:val="00C21718"/>
    <w:rsid w:val="00C22037"/>
    <w:rsid w:val="00C23D6E"/>
    <w:rsid w:val="00C24103"/>
    <w:rsid w:val="00C272BF"/>
    <w:rsid w:val="00C3130B"/>
    <w:rsid w:val="00C321FC"/>
    <w:rsid w:val="00C35191"/>
    <w:rsid w:val="00C359AB"/>
    <w:rsid w:val="00C359B7"/>
    <w:rsid w:val="00C37F64"/>
    <w:rsid w:val="00C40DF5"/>
    <w:rsid w:val="00C41E30"/>
    <w:rsid w:val="00C45360"/>
    <w:rsid w:val="00C4628D"/>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97F0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4F85"/>
    <w:rsid w:val="00CD58B4"/>
    <w:rsid w:val="00CD71DD"/>
    <w:rsid w:val="00CE1449"/>
    <w:rsid w:val="00CE3F7C"/>
    <w:rsid w:val="00CE52E5"/>
    <w:rsid w:val="00CE6756"/>
    <w:rsid w:val="00CF15E8"/>
    <w:rsid w:val="00CF1602"/>
    <w:rsid w:val="00CF166C"/>
    <w:rsid w:val="00CF4484"/>
    <w:rsid w:val="00CF5D57"/>
    <w:rsid w:val="00CF5DD0"/>
    <w:rsid w:val="00CF6183"/>
    <w:rsid w:val="00D00F4F"/>
    <w:rsid w:val="00D0156D"/>
    <w:rsid w:val="00D03751"/>
    <w:rsid w:val="00D03C26"/>
    <w:rsid w:val="00D03DE5"/>
    <w:rsid w:val="00D07AE5"/>
    <w:rsid w:val="00D119AD"/>
    <w:rsid w:val="00D14766"/>
    <w:rsid w:val="00D15223"/>
    <w:rsid w:val="00D15EE6"/>
    <w:rsid w:val="00D20561"/>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5A70"/>
    <w:rsid w:val="00D57B19"/>
    <w:rsid w:val="00D60393"/>
    <w:rsid w:val="00D60416"/>
    <w:rsid w:val="00D633D1"/>
    <w:rsid w:val="00D63B45"/>
    <w:rsid w:val="00D65A67"/>
    <w:rsid w:val="00D65E2D"/>
    <w:rsid w:val="00D66888"/>
    <w:rsid w:val="00D66A84"/>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978D5"/>
    <w:rsid w:val="00DA2656"/>
    <w:rsid w:val="00DA3537"/>
    <w:rsid w:val="00DA4EE3"/>
    <w:rsid w:val="00DA639A"/>
    <w:rsid w:val="00DA7307"/>
    <w:rsid w:val="00DA7551"/>
    <w:rsid w:val="00DB0FA9"/>
    <w:rsid w:val="00DB1743"/>
    <w:rsid w:val="00DB48C2"/>
    <w:rsid w:val="00DC0BDA"/>
    <w:rsid w:val="00DC1075"/>
    <w:rsid w:val="00DC3967"/>
    <w:rsid w:val="00DC5F5C"/>
    <w:rsid w:val="00DC63D8"/>
    <w:rsid w:val="00DD0D9B"/>
    <w:rsid w:val="00DD14C2"/>
    <w:rsid w:val="00DD3178"/>
    <w:rsid w:val="00DD45C9"/>
    <w:rsid w:val="00DD528B"/>
    <w:rsid w:val="00DD6CA7"/>
    <w:rsid w:val="00DE26E8"/>
    <w:rsid w:val="00DE4548"/>
    <w:rsid w:val="00DE4A52"/>
    <w:rsid w:val="00DE4AF8"/>
    <w:rsid w:val="00DE4BEE"/>
    <w:rsid w:val="00DE4C92"/>
    <w:rsid w:val="00DE7106"/>
    <w:rsid w:val="00DF3390"/>
    <w:rsid w:val="00DF347E"/>
    <w:rsid w:val="00DF57B8"/>
    <w:rsid w:val="00DF6096"/>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3E79"/>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9B8"/>
    <w:rsid w:val="00E70AF9"/>
    <w:rsid w:val="00E7272D"/>
    <w:rsid w:val="00E7319A"/>
    <w:rsid w:val="00E735D1"/>
    <w:rsid w:val="00E745E4"/>
    <w:rsid w:val="00E7461B"/>
    <w:rsid w:val="00E74D35"/>
    <w:rsid w:val="00E75431"/>
    <w:rsid w:val="00E76845"/>
    <w:rsid w:val="00E813CB"/>
    <w:rsid w:val="00E830B4"/>
    <w:rsid w:val="00E83ED7"/>
    <w:rsid w:val="00E84F13"/>
    <w:rsid w:val="00E925BB"/>
    <w:rsid w:val="00E9288A"/>
    <w:rsid w:val="00E92A57"/>
    <w:rsid w:val="00E93422"/>
    <w:rsid w:val="00EA39E6"/>
    <w:rsid w:val="00EA3BCA"/>
    <w:rsid w:val="00EA60FF"/>
    <w:rsid w:val="00EB1531"/>
    <w:rsid w:val="00EB1730"/>
    <w:rsid w:val="00EB29DD"/>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1E2D"/>
    <w:rsid w:val="00F0398D"/>
    <w:rsid w:val="00F04729"/>
    <w:rsid w:val="00F05C76"/>
    <w:rsid w:val="00F06A6B"/>
    <w:rsid w:val="00F0716E"/>
    <w:rsid w:val="00F124B2"/>
    <w:rsid w:val="00F1496A"/>
    <w:rsid w:val="00F15204"/>
    <w:rsid w:val="00F15401"/>
    <w:rsid w:val="00F200D4"/>
    <w:rsid w:val="00F2124F"/>
    <w:rsid w:val="00F23476"/>
    <w:rsid w:val="00F248D3"/>
    <w:rsid w:val="00F24E75"/>
    <w:rsid w:val="00F24FA9"/>
    <w:rsid w:val="00F26829"/>
    <w:rsid w:val="00F26F27"/>
    <w:rsid w:val="00F274C1"/>
    <w:rsid w:val="00F31E4F"/>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A90"/>
    <w:rsid w:val="00F71E23"/>
    <w:rsid w:val="00F723B1"/>
    <w:rsid w:val="00F74AF0"/>
    <w:rsid w:val="00F752AB"/>
    <w:rsid w:val="00F77ECA"/>
    <w:rsid w:val="00F80D92"/>
    <w:rsid w:val="00F836D7"/>
    <w:rsid w:val="00F84216"/>
    <w:rsid w:val="00F856BF"/>
    <w:rsid w:val="00F87485"/>
    <w:rsid w:val="00F900BD"/>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E8D68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styleId="Nevyeenzmnka">
    <w:name w:val="Unresolved Mention"/>
    <w:basedOn w:val="Standardnpsmoodstavce"/>
    <w:uiPriority w:val="99"/>
    <w:semiHidden/>
    <w:unhideWhenUsed/>
    <w:rsid w:val="004F3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52504649">
      <w:bodyDiv w:val="1"/>
      <w:marLeft w:val="0"/>
      <w:marRight w:val="0"/>
      <w:marTop w:val="0"/>
      <w:marBottom w:val="0"/>
      <w:divBdr>
        <w:top w:val="none" w:sz="0" w:space="0" w:color="auto"/>
        <w:left w:val="none" w:sz="0" w:space="0" w:color="auto"/>
        <w:bottom w:val="none" w:sz="0" w:space="0" w:color="auto"/>
        <w:right w:val="none" w:sz="0" w:space="0" w:color="auto"/>
      </w:divBdr>
      <w:divsChild>
        <w:div w:id="1393456816">
          <w:marLeft w:val="922"/>
          <w:marRight w:val="0"/>
          <w:marTop w:val="0"/>
          <w:marBottom w:val="0"/>
          <w:divBdr>
            <w:top w:val="none" w:sz="0" w:space="0" w:color="auto"/>
            <w:left w:val="none" w:sz="0" w:space="0" w:color="auto"/>
            <w:bottom w:val="none" w:sz="0" w:space="0" w:color="auto"/>
            <w:right w:val="none" w:sz="0" w:space="0" w:color="auto"/>
          </w:divBdr>
        </w:div>
        <w:div w:id="586351234">
          <w:marLeft w:val="922"/>
          <w:marRight w:val="0"/>
          <w:marTop w:val="0"/>
          <w:marBottom w:val="0"/>
          <w:divBdr>
            <w:top w:val="none" w:sz="0" w:space="0" w:color="auto"/>
            <w:left w:val="none" w:sz="0" w:space="0" w:color="auto"/>
            <w:bottom w:val="none" w:sz="0" w:space="0" w:color="auto"/>
            <w:right w:val="none" w:sz="0" w:space="0" w:color="auto"/>
          </w:divBdr>
        </w:div>
        <w:div w:id="10451520">
          <w:marLeft w:val="922"/>
          <w:marRight w:val="0"/>
          <w:marTop w:val="0"/>
          <w:marBottom w:val="0"/>
          <w:divBdr>
            <w:top w:val="none" w:sz="0" w:space="0" w:color="auto"/>
            <w:left w:val="none" w:sz="0" w:space="0" w:color="auto"/>
            <w:bottom w:val="none" w:sz="0" w:space="0" w:color="auto"/>
            <w:right w:val="none" w:sz="0" w:space="0" w:color="auto"/>
          </w:divBdr>
        </w:div>
        <w:div w:id="2005086452">
          <w:marLeft w:val="922"/>
          <w:marRight w:val="0"/>
          <w:marTop w:val="0"/>
          <w:marBottom w:val="0"/>
          <w:divBdr>
            <w:top w:val="none" w:sz="0" w:space="0" w:color="auto"/>
            <w:left w:val="none" w:sz="0" w:space="0" w:color="auto"/>
            <w:bottom w:val="none" w:sz="0" w:space="0" w:color="auto"/>
            <w:right w:val="none" w:sz="0" w:space="0" w:color="auto"/>
          </w:divBdr>
        </w:div>
        <w:div w:id="1966885844">
          <w:marLeft w:val="922"/>
          <w:marRight w:val="0"/>
          <w:marTop w:val="0"/>
          <w:marBottom w:val="0"/>
          <w:divBdr>
            <w:top w:val="none" w:sz="0" w:space="0" w:color="auto"/>
            <w:left w:val="none" w:sz="0" w:space="0" w:color="auto"/>
            <w:bottom w:val="none" w:sz="0" w:space="0" w:color="auto"/>
            <w:right w:val="none" w:sz="0" w:space="0" w:color="auto"/>
          </w:divBdr>
        </w:div>
        <w:div w:id="1702437229">
          <w:marLeft w:val="922"/>
          <w:marRight w:val="0"/>
          <w:marTop w:val="0"/>
          <w:marBottom w:val="0"/>
          <w:divBdr>
            <w:top w:val="none" w:sz="0" w:space="0" w:color="auto"/>
            <w:left w:val="none" w:sz="0" w:space="0" w:color="auto"/>
            <w:bottom w:val="none" w:sz="0" w:space="0" w:color="auto"/>
            <w:right w:val="none" w:sz="0" w:space="0" w:color="auto"/>
          </w:divBdr>
        </w:div>
        <w:div w:id="1071928078">
          <w:marLeft w:val="922"/>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5A6BE-3946-4F37-889F-88DBCBDCB9BC}">
  <ds:schemaRefs>
    <ds:schemaRef ds:uri="http://schemas.openxmlformats.org/officeDocument/2006/bibliography"/>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law_hlavickovy_papir_cz_barva (1)</Template>
  <TotalTime>0</TotalTime>
  <Pages>6</Pages>
  <Words>1920</Words>
  <Characters>10625</Characters>
  <Application>Microsoft Office Word</Application>
  <DocSecurity>4</DocSecurity>
  <Lines>88</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Klára Drličková</cp:lastModifiedBy>
  <cp:revision>2</cp:revision>
  <cp:lastPrinted>2020-01-04T17:54:00Z</cp:lastPrinted>
  <dcterms:created xsi:type="dcterms:W3CDTF">2023-04-19T07:27:00Z</dcterms:created>
  <dcterms:modified xsi:type="dcterms:W3CDTF">2023-04-19T07:27:00Z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